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32"/>
        </w:rPr>
      </w:pPr>
      <w:r>
        <w:rPr>
          <w:rFonts w:hint="eastAsia" w:ascii="方正小标宋简体" w:eastAsia="方正小标宋简体"/>
          <w:sz w:val="32"/>
        </w:rPr>
        <w:t>文化产业专项</w:t>
      </w:r>
      <w:r>
        <w:rPr>
          <w:rFonts w:hint="eastAsia" w:ascii="方正小标宋简体" w:eastAsia="方正小标宋简体"/>
          <w:sz w:val="32"/>
          <w:lang w:val="en-US" w:eastAsia="zh-CN"/>
        </w:rPr>
        <w:t>咨询报告</w:t>
      </w:r>
      <w:r>
        <w:rPr>
          <w:rFonts w:hint="eastAsia" w:ascii="方正小标宋简体" w:eastAsia="方正小标宋简体"/>
          <w:sz w:val="32"/>
        </w:rPr>
        <w:t>服务</w:t>
      </w:r>
    </w:p>
    <w:p>
      <w:pPr>
        <w:jc w:val="center"/>
        <w:rPr>
          <w:rFonts w:ascii="方正小标宋简体" w:eastAsia="方正小标宋简体"/>
        </w:rPr>
      </w:pPr>
      <w:r>
        <w:rPr>
          <w:rFonts w:hint="eastAsia" w:ascii="方正小标宋简体" w:eastAsia="方正小标宋简体"/>
          <w:sz w:val="32"/>
        </w:rPr>
        <w:t>技术（服务）规范书</w:t>
      </w:r>
    </w:p>
    <w:p>
      <w:pPr>
        <w:pStyle w:val="2"/>
        <w:ind w:firstLine="482"/>
        <w:rPr>
          <w:rFonts w:ascii="宋体" w:hAnsi="宋体" w:eastAsia="宋体" w:cs="宋体"/>
          <w:b/>
          <w:bCs/>
          <w:sz w:val="24"/>
        </w:rPr>
      </w:pPr>
    </w:p>
    <w:p>
      <w:pPr>
        <w:pStyle w:val="13"/>
        <w:spacing w:line="480" w:lineRule="exact"/>
        <w:ind w:left="-13" w:firstLine="0" w:firstLineChars="0"/>
        <w:outlineLvl w:val="0"/>
        <w:rPr>
          <w:rFonts w:ascii="宋体" w:hAnsi="宋体" w:eastAsia="宋体"/>
          <w:b/>
          <w:bCs/>
          <w:sz w:val="24"/>
        </w:rPr>
      </w:pPr>
      <w:r>
        <w:rPr>
          <w:rFonts w:hint="eastAsia" w:ascii="宋体" w:hAnsi="宋体" w:eastAsia="宋体"/>
          <w:b/>
          <w:bCs/>
          <w:sz w:val="24"/>
        </w:rPr>
        <w:t>一、项目简介</w:t>
      </w:r>
    </w:p>
    <w:p>
      <w:pPr>
        <w:snapToGrid w:val="0"/>
        <w:spacing w:after="156" w:afterLines="50" w:line="480" w:lineRule="exact"/>
        <w:ind w:firstLine="480" w:firstLineChars="200"/>
        <w:jc w:val="both"/>
        <w:rPr>
          <w:rFonts w:ascii="宋体" w:hAnsi="宋体" w:eastAsia="宋体"/>
          <w:sz w:val="24"/>
        </w:rPr>
      </w:pPr>
      <w:r>
        <w:rPr>
          <w:rFonts w:hint="eastAsia" w:ascii="宋体" w:hAnsi="宋体" w:eastAsia="宋体"/>
          <w:sz w:val="24"/>
          <w:highlight w:val="none"/>
        </w:rPr>
        <w:t>甲方按照</w:t>
      </w:r>
      <w:r>
        <w:rPr>
          <w:rFonts w:hint="eastAsia" w:ascii="宋体" w:hAnsi="宋体" w:eastAsia="宋体"/>
          <w:sz w:val="24"/>
          <w:highlight w:val="none"/>
          <w:lang w:val="en-US" w:eastAsia="zh-CN"/>
        </w:rPr>
        <w:t>集团委托项目工作的要求</w:t>
      </w:r>
      <w:r>
        <w:rPr>
          <w:rFonts w:hint="eastAsia" w:ascii="宋体" w:hAnsi="宋体" w:eastAsia="宋体"/>
          <w:color w:val="333333"/>
          <w:sz w:val="24"/>
          <w:highlight w:val="none"/>
          <w:shd w:val="clear" w:color="auto" w:fill="FFFFFF"/>
        </w:rPr>
        <w:t>，</w:t>
      </w:r>
      <w:r>
        <w:rPr>
          <w:rFonts w:hint="eastAsia" w:ascii="宋体" w:hAnsi="宋体" w:eastAsia="宋体"/>
          <w:sz w:val="24"/>
          <w:highlight w:val="none"/>
          <w:lang w:val="en-US" w:eastAsia="zh-CN"/>
        </w:rPr>
        <w:t>为《</w:t>
      </w:r>
      <w:r>
        <w:rPr>
          <w:rFonts w:hint="eastAsia" w:ascii="宋体" w:hAnsi="宋体" w:eastAsia="宋体"/>
          <w:sz w:val="24"/>
          <w:highlight w:val="none"/>
        </w:rPr>
        <w:t>国家文化产业战略机遇下的集邮业务发展研究</w:t>
      </w:r>
      <w:r>
        <w:rPr>
          <w:rFonts w:hint="eastAsia" w:ascii="宋体" w:hAnsi="宋体" w:eastAsia="宋体"/>
          <w:sz w:val="24"/>
          <w:highlight w:val="none"/>
          <w:lang w:eastAsia="zh-CN"/>
        </w:rPr>
        <w:t>》</w:t>
      </w:r>
      <w:r>
        <w:rPr>
          <w:rFonts w:hint="eastAsia" w:ascii="宋体" w:hAnsi="宋体" w:eastAsia="宋体"/>
          <w:sz w:val="24"/>
          <w:highlight w:val="none"/>
          <w:lang w:val="en-US" w:eastAsia="zh-CN"/>
        </w:rPr>
        <w:t>项目</w:t>
      </w:r>
      <w:r>
        <w:rPr>
          <w:rFonts w:hint="eastAsia" w:ascii="宋体" w:hAnsi="宋体" w:eastAsia="宋体"/>
          <w:sz w:val="24"/>
          <w:highlight w:val="none"/>
        </w:rPr>
        <w:t>提供专业</w:t>
      </w:r>
      <w:r>
        <w:rPr>
          <w:rFonts w:hint="eastAsia" w:ascii="宋体" w:hAnsi="宋体" w:eastAsia="宋体"/>
          <w:sz w:val="24"/>
        </w:rPr>
        <w:t>第三方视角</w:t>
      </w:r>
      <w:r>
        <w:rPr>
          <w:rFonts w:hint="eastAsia" w:ascii="宋体" w:hAnsi="宋体" w:eastAsia="宋体"/>
          <w:sz w:val="24"/>
          <w:lang w:eastAsia="zh-CN"/>
        </w:rPr>
        <w:t>，针对项目中特定</w:t>
      </w:r>
      <w:r>
        <w:rPr>
          <w:rFonts w:hint="eastAsia" w:ascii="宋体" w:hAnsi="宋体" w:eastAsia="宋体"/>
          <w:sz w:val="24"/>
          <w:lang w:val="en-US" w:eastAsia="zh-CN"/>
        </w:rPr>
        <w:t>部分开展专项分析</w:t>
      </w:r>
      <w:r>
        <w:rPr>
          <w:rFonts w:hint="eastAsia" w:ascii="宋体" w:hAnsi="宋体" w:eastAsia="宋体"/>
          <w:sz w:val="24"/>
          <w:lang w:eastAsia="zh-CN"/>
        </w:rPr>
        <w:t>，</w:t>
      </w:r>
      <w:r>
        <w:rPr>
          <w:rFonts w:hint="eastAsia" w:ascii="宋体" w:hAnsi="宋体" w:eastAsia="宋体"/>
          <w:sz w:val="24"/>
          <w:lang w:val="en-US" w:eastAsia="zh-CN"/>
        </w:rPr>
        <w:t>通过进一步掌握</w:t>
      </w:r>
      <w:r>
        <w:rPr>
          <w:rFonts w:hint="eastAsia" w:ascii="宋体" w:hAnsi="宋体" w:eastAsia="宋体"/>
          <w:sz w:val="24"/>
        </w:rPr>
        <w:t>国家文化产业发展态势</w:t>
      </w:r>
      <w:r>
        <w:rPr>
          <w:rFonts w:hint="eastAsia" w:ascii="宋体" w:hAnsi="宋体" w:eastAsia="宋体"/>
          <w:sz w:val="24"/>
          <w:lang w:eastAsia="zh-CN"/>
        </w:rPr>
        <w:t>，</w:t>
      </w:r>
      <w:r>
        <w:rPr>
          <w:rFonts w:hint="eastAsia" w:ascii="宋体" w:hAnsi="宋体" w:eastAsia="宋体"/>
          <w:sz w:val="24"/>
          <w:lang w:val="en-US" w:eastAsia="zh-CN"/>
        </w:rPr>
        <w:t>透彻了解</w:t>
      </w:r>
      <w:r>
        <w:rPr>
          <w:rFonts w:hint="eastAsia" w:ascii="宋体" w:hAnsi="宋体" w:eastAsia="宋体"/>
          <w:sz w:val="24"/>
        </w:rPr>
        <w:t>与集邮业务关联度高的几个</w:t>
      </w:r>
      <w:r>
        <w:rPr>
          <w:rFonts w:hint="eastAsia" w:ascii="宋体" w:hAnsi="宋体" w:eastAsia="宋体"/>
          <w:sz w:val="24"/>
          <w:lang w:val="en-US" w:eastAsia="zh-CN"/>
        </w:rPr>
        <w:t>文化细分领域情况</w:t>
      </w:r>
      <w:r>
        <w:rPr>
          <w:rFonts w:hint="eastAsia" w:ascii="宋体" w:hAnsi="宋体" w:eastAsia="宋体"/>
          <w:sz w:val="24"/>
        </w:rPr>
        <w:t>，确保</w:t>
      </w:r>
      <w:r>
        <w:rPr>
          <w:rFonts w:hint="eastAsia" w:ascii="宋体" w:hAnsi="宋体" w:eastAsia="宋体"/>
          <w:sz w:val="24"/>
          <w:lang w:val="en-US" w:eastAsia="zh-CN"/>
        </w:rPr>
        <w:t>项目</w:t>
      </w:r>
      <w:r>
        <w:rPr>
          <w:rFonts w:hint="eastAsia" w:ascii="宋体" w:hAnsi="宋体" w:eastAsia="宋体"/>
          <w:sz w:val="24"/>
        </w:rPr>
        <w:t>研究的深度、广度及实施可行性</w:t>
      </w:r>
      <w:r>
        <w:rPr>
          <w:rFonts w:hint="eastAsia" w:ascii="宋体" w:hAnsi="宋体" w:eastAsia="宋体"/>
          <w:sz w:val="24"/>
          <w:lang w:eastAsia="zh-CN"/>
        </w:rPr>
        <w:t>，</w:t>
      </w:r>
      <w:r>
        <w:rPr>
          <w:rFonts w:hint="eastAsia" w:ascii="宋体" w:hAnsi="宋体" w:eastAsia="宋体"/>
          <w:sz w:val="24"/>
        </w:rPr>
        <w:t>特组织此次采购。</w:t>
      </w:r>
    </w:p>
    <w:p>
      <w:pPr>
        <w:pStyle w:val="13"/>
        <w:spacing w:line="480" w:lineRule="exact"/>
        <w:ind w:left="-13" w:firstLine="0" w:firstLineChars="0"/>
        <w:outlineLvl w:val="0"/>
        <w:rPr>
          <w:rFonts w:ascii="宋体" w:hAnsi="宋体" w:eastAsia="宋体"/>
          <w:b/>
          <w:bCs/>
          <w:sz w:val="24"/>
        </w:rPr>
      </w:pPr>
      <w:r>
        <w:rPr>
          <w:rFonts w:hint="eastAsia" w:ascii="宋体" w:hAnsi="宋体" w:eastAsia="宋体"/>
          <w:b/>
          <w:bCs/>
          <w:sz w:val="24"/>
        </w:rPr>
        <w:t>二、采购标的</w:t>
      </w:r>
    </w:p>
    <w:p>
      <w:pPr>
        <w:snapToGrid w:val="0"/>
        <w:spacing w:after="156" w:afterLines="50" w:line="480" w:lineRule="exact"/>
        <w:ind w:firstLine="480" w:firstLineChars="200"/>
        <w:jc w:val="both"/>
        <w:rPr>
          <w:rFonts w:ascii="宋体" w:hAnsi="宋体" w:eastAsia="宋体"/>
          <w:sz w:val="24"/>
        </w:rPr>
      </w:pPr>
      <w:r>
        <w:rPr>
          <w:rFonts w:hint="eastAsia" w:ascii="宋体" w:hAnsi="宋体" w:eastAsia="宋体"/>
          <w:sz w:val="24"/>
          <w:lang w:val="en-US" w:eastAsia="zh-CN"/>
        </w:rPr>
        <w:t>文化产业</w:t>
      </w:r>
      <w:r>
        <w:rPr>
          <w:rFonts w:hint="eastAsia" w:ascii="宋体" w:hAnsi="宋体" w:eastAsia="宋体"/>
          <w:sz w:val="24"/>
        </w:rPr>
        <w:t>专项</w:t>
      </w:r>
      <w:r>
        <w:rPr>
          <w:rFonts w:hint="eastAsia" w:ascii="宋体" w:hAnsi="宋体" w:eastAsia="宋体"/>
          <w:sz w:val="24"/>
          <w:lang w:val="en-US" w:eastAsia="zh-CN"/>
        </w:rPr>
        <w:t>咨询报告</w:t>
      </w:r>
      <w:r>
        <w:rPr>
          <w:rFonts w:hint="eastAsia" w:ascii="宋体" w:hAnsi="宋体" w:eastAsia="宋体"/>
          <w:sz w:val="24"/>
        </w:rPr>
        <w:t>服务</w:t>
      </w:r>
    </w:p>
    <w:p>
      <w:pPr>
        <w:pStyle w:val="13"/>
        <w:spacing w:before="156" w:beforeLines="50" w:line="480" w:lineRule="exact"/>
        <w:ind w:left="-11" w:firstLine="0" w:firstLineChars="0"/>
        <w:outlineLvl w:val="0"/>
        <w:rPr>
          <w:rFonts w:ascii="宋体" w:hAnsi="宋体" w:eastAsia="宋体"/>
          <w:b/>
          <w:bCs/>
          <w:sz w:val="24"/>
        </w:rPr>
      </w:pPr>
      <w:r>
        <w:rPr>
          <w:rFonts w:hint="eastAsia" w:ascii="宋体" w:hAnsi="宋体" w:eastAsia="宋体"/>
          <w:b/>
          <w:bCs/>
          <w:sz w:val="24"/>
        </w:rPr>
        <w:t>三、服务内容及服务要求</w:t>
      </w:r>
    </w:p>
    <w:p>
      <w:pPr>
        <w:pStyle w:val="13"/>
        <w:snapToGrid w:val="0"/>
        <w:spacing w:after="156" w:afterLines="50" w:line="480" w:lineRule="exact"/>
        <w:ind w:firstLine="482"/>
        <w:jc w:val="both"/>
        <w:rPr>
          <w:rFonts w:ascii="宋体" w:hAnsi="宋体" w:eastAsia="宋体"/>
          <w:b/>
          <w:bCs/>
          <w:sz w:val="24"/>
        </w:rPr>
      </w:pPr>
      <w:r>
        <w:rPr>
          <w:rFonts w:hint="eastAsia" w:ascii="宋体" w:hAnsi="宋体" w:eastAsia="宋体"/>
          <w:b/>
          <w:bCs/>
          <w:sz w:val="24"/>
        </w:rPr>
        <w:t>（一）目的：</w:t>
      </w:r>
    </w:p>
    <w:p>
      <w:pPr>
        <w:pStyle w:val="13"/>
        <w:snapToGrid w:val="0"/>
        <w:spacing w:after="156" w:afterLines="50" w:line="480" w:lineRule="exact"/>
        <w:ind w:firstLine="480"/>
        <w:jc w:val="both"/>
        <w:rPr>
          <w:rFonts w:hint="eastAsia" w:ascii="宋体" w:hAnsi="宋体" w:eastAsia="宋体"/>
          <w:b/>
          <w:bCs/>
          <w:sz w:val="24"/>
          <w:lang w:eastAsia="zh-CN"/>
        </w:rPr>
      </w:pPr>
      <w:r>
        <w:rPr>
          <w:rFonts w:hint="eastAsia" w:ascii="宋体" w:hAnsi="宋体" w:eastAsia="宋体"/>
          <w:bCs/>
          <w:sz w:val="24"/>
          <w:lang w:val="en-US" w:eastAsia="zh-CN"/>
        </w:rPr>
        <w:t>通过</w:t>
      </w:r>
      <w:r>
        <w:rPr>
          <w:rFonts w:hint="eastAsia" w:ascii="宋体" w:hAnsi="宋体" w:eastAsia="宋体"/>
          <w:bCs/>
          <w:sz w:val="24"/>
        </w:rPr>
        <w:t>外部专业智库</w:t>
      </w:r>
      <w:r>
        <w:rPr>
          <w:rFonts w:hint="eastAsia" w:ascii="宋体" w:hAnsi="宋体" w:eastAsia="宋体"/>
          <w:bCs/>
          <w:sz w:val="24"/>
          <w:lang w:val="en-US" w:eastAsia="zh-CN"/>
        </w:rPr>
        <w:t>提供的咨询报告</w:t>
      </w:r>
      <w:r>
        <w:rPr>
          <w:rFonts w:hint="eastAsia" w:ascii="宋体" w:hAnsi="宋体" w:eastAsia="宋体"/>
          <w:bCs/>
          <w:sz w:val="24"/>
        </w:rPr>
        <w:t>，系统性分析文化产业的整体发展趋势，</w:t>
      </w:r>
      <w:r>
        <w:rPr>
          <w:rFonts w:hint="eastAsia" w:ascii="宋体" w:hAnsi="宋体" w:eastAsia="宋体"/>
          <w:bCs/>
          <w:sz w:val="24"/>
          <w:lang w:val="en-US" w:eastAsia="zh-CN"/>
        </w:rPr>
        <w:t>特别是</w:t>
      </w:r>
      <w:r>
        <w:rPr>
          <w:rFonts w:hint="eastAsia" w:ascii="宋体" w:hAnsi="宋体" w:eastAsia="宋体"/>
          <w:bCs/>
          <w:sz w:val="24"/>
        </w:rPr>
        <w:t>聚焦与集邮文化交集密切</w:t>
      </w:r>
      <w:r>
        <w:rPr>
          <w:rFonts w:hint="eastAsia" w:ascii="宋体" w:hAnsi="宋体" w:eastAsia="宋体"/>
          <w:bCs/>
          <w:sz w:val="24"/>
          <w:lang w:val="en-US" w:eastAsia="zh-CN"/>
        </w:rPr>
        <w:t>的</w:t>
      </w:r>
      <w:r>
        <w:rPr>
          <w:rFonts w:hint="eastAsia" w:ascii="宋体" w:hAnsi="宋体" w:eastAsia="宋体"/>
          <w:bCs/>
          <w:sz w:val="24"/>
        </w:rPr>
        <w:t>新兴细分领域，</w:t>
      </w:r>
      <w:r>
        <w:rPr>
          <w:rFonts w:hint="eastAsia" w:ascii="宋体" w:hAnsi="宋体" w:eastAsia="宋体"/>
          <w:bCs/>
          <w:sz w:val="24"/>
          <w:lang w:val="en-US" w:eastAsia="zh-CN"/>
        </w:rPr>
        <w:t>为</w:t>
      </w:r>
      <w:r>
        <w:rPr>
          <w:rFonts w:hint="eastAsia" w:ascii="宋体" w:hAnsi="宋体" w:eastAsia="宋体"/>
          <w:bCs/>
          <w:sz w:val="24"/>
        </w:rPr>
        <w:t>研究工作</w:t>
      </w:r>
      <w:r>
        <w:rPr>
          <w:rFonts w:hint="eastAsia" w:ascii="宋体" w:hAnsi="宋体" w:eastAsia="宋体"/>
          <w:bCs/>
          <w:sz w:val="24"/>
          <w:lang w:val="en-US" w:eastAsia="zh-CN"/>
        </w:rPr>
        <w:t>注入专业</w:t>
      </w:r>
      <w:r>
        <w:rPr>
          <w:rFonts w:hint="eastAsia" w:ascii="宋体" w:hAnsi="宋体" w:eastAsia="宋体"/>
          <w:bCs/>
          <w:sz w:val="24"/>
        </w:rPr>
        <w:t>视角，</w:t>
      </w:r>
      <w:r>
        <w:rPr>
          <w:rFonts w:hint="eastAsia" w:ascii="宋体" w:hAnsi="宋体" w:eastAsia="宋体"/>
          <w:bCs/>
          <w:sz w:val="24"/>
          <w:lang w:val="en-US" w:eastAsia="zh-CN"/>
        </w:rPr>
        <w:t>强化</w:t>
      </w:r>
      <w:r>
        <w:rPr>
          <w:rFonts w:hint="eastAsia" w:ascii="宋体" w:hAnsi="宋体" w:eastAsia="宋体"/>
          <w:bCs/>
          <w:sz w:val="24"/>
        </w:rPr>
        <w:t>产业链洞察</w:t>
      </w:r>
      <w:r>
        <w:rPr>
          <w:rFonts w:hint="eastAsia" w:ascii="宋体" w:hAnsi="宋体" w:eastAsia="宋体"/>
          <w:bCs/>
          <w:sz w:val="24"/>
          <w:lang w:eastAsia="zh-CN"/>
        </w:rPr>
        <w:t>，拓</w:t>
      </w:r>
      <w:r>
        <w:rPr>
          <w:rFonts w:hint="eastAsia" w:ascii="宋体" w:hAnsi="宋体" w:eastAsia="宋体"/>
          <w:bCs/>
          <w:sz w:val="24"/>
          <w:lang w:val="en-US" w:eastAsia="zh-CN"/>
        </w:rPr>
        <w:t>宽</w:t>
      </w:r>
      <w:r>
        <w:rPr>
          <w:rFonts w:hint="eastAsia" w:ascii="宋体" w:hAnsi="宋体" w:eastAsia="宋体"/>
          <w:bCs/>
          <w:sz w:val="24"/>
          <w:lang w:eastAsia="zh-CN"/>
        </w:rPr>
        <w:t>研究</w:t>
      </w:r>
      <w:r>
        <w:rPr>
          <w:rFonts w:hint="eastAsia" w:ascii="宋体" w:hAnsi="宋体" w:eastAsia="宋体"/>
          <w:bCs/>
          <w:sz w:val="24"/>
          <w:lang w:val="en-US" w:eastAsia="zh-CN"/>
        </w:rPr>
        <w:t>视野</w:t>
      </w:r>
      <w:r>
        <w:rPr>
          <w:rFonts w:hint="eastAsia" w:ascii="宋体" w:hAnsi="宋体" w:eastAsia="宋体"/>
          <w:bCs/>
          <w:sz w:val="24"/>
          <w:lang w:eastAsia="zh-CN"/>
        </w:rPr>
        <w:t>，</w:t>
      </w:r>
      <w:r>
        <w:rPr>
          <w:rFonts w:hint="eastAsia" w:ascii="宋体" w:hAnsi="宋体" w:eastAsia="宋体"/>
          <w:bCs/>
          <w:sz w:val="24"/>
          <w:lang w:val="en-US" w:eastAsia="zh-CN"/>
        </w:rPr>
        <w:t>为</w:t>
      </w:r>
      <w:r>
        <w:rPr>
          <w:rFonts w:hint="eastAsia" w:ascii="宋体" w:hAnsi="宋体" w:eastAsia="宋体"/>
          <w:bCs/>
          <w:sz w:val="24"/>
        </w:rPr>
        <w:t>制定前瞻性战略规划提供实证基础</w:t>
      </w:r>
      <w:r>
        <w:rPr>
          <w:rFonts w:hint="eastAsia" w:ascii="宋体" w:hAnsi="宋体" w:eastAsia="宋体"/>
          <w:bCs/>
          <w:sz w:val="24"/>
          <w:lang w:eastAsia="zh-CN"/>
        </w:rPr>
        <w:t>。</w:t>
      </w:r>
    </w:p>
    <w:p>
      <w:pPr>
        <w:pStyle w:val="13"/>
        <w:snapToGrid w:val="0"/>
        <w:spacing w:after="156" w:afterLines="50" w:line="480" w:lineRule="exact"/>
        <w:ind w:firstLine="482"/>
        <w:jc w:val="both"/>
        <w:rPr>
          <w:rFonts w:ascii="宋体" w:hAnsi="宋体" w:eastAsia="宋体"/>
          <w:b/>
          <w:bCs/>
          <w:sz w:val="24"/>
        </w:rPr>
      </w:pPr>
      <w:r>
        <w:rPr>
          <w:rFonts w:hint="eastAsia" w:ascii="宋体" w:hAnsi="宋体" w:eastAsia="宋体"/>
          <w:b/>
          <w:bCs/>
          <w:sz w:val="24"/>
        </w:rPr>
        <w:t>（二）内容：</w:t>
      </w:r>
    </w:p>
    <w:p>
      <w:pPr>
        <w:pStyle w:val="13"/>
        <w:snapToGrid w:val="0"/>
        <w:spacing w:after="156" w:afterLines="50" w:line="480" w:lineRule="exact"/>
        <w:ind w:firstLine="480"/>
        <w:jc w:val="both"/>
        <w:rPr>
          <w:rFonts w:hint="default" w:ascii="宋体" w:hAnsi="宋体" w:eastAsia="宋体"/>
          <w:bCs/>
          <w:sz w:val="24"/>
          <w:lang w:val="en-US" w:eastAsia="zh-CN"/>
        </w:rPr>
      </w:pPr>
      <w:r>
        <w:rPr>
          <w:rFonts w:hint="eastAsia" w:ascii="宋体" w:hAnsi="宋体" w:eastAsia="宋体"/>
          <w:bCs/>
          <w:sz w:val="24"/>
          <w:lang w:val="en-US" w:eastAsia="zh-CN"/>
        </w:rPr>
        <w:t>1.文化政策分析。包括整理政策内容；比较不同年份的政策，分析政策导向的变化趋势，识别新出台或调整的关键政策，探讨背后的原因及对产业的潜在影响；明确政策惠及的主要群体（如创作者、企业、消费者）；评估政策的直接影响和长期效应。</w:t>
      </w:r>
    </w:p>
    <w:p>
      <w:pPr>
        <w:pStyle w:val="13"/>
        <w:snapToGrid w:val="0"/>
        <w:spacing w:after="156" w:afterLines="50" w:line="480" w:lineRule="exact"/>
        <w:ind w:firstLine="480"/>
        <w:jc w:val="both"/>
        <w:rPr>
          <w:rFonts w:hint="eastAsia" w:ascii="宋体" w:hAnsi="宋体" w:eastAsia="宋体"/>
          <w:bCs/>
          <w:sz w:val="24"/>
          <w:lang w:val="en-US" w:eastAsia="zh-CN"/>
        </w:rPr>
      </w:pPr>
      <w:r>
        <w:rPr>
          <w:rFonts w:hint="eastAsia" w:ascii="宋体" w:hAnsi="宋体" w:eastAsia="宋体"/>
          <w:bCs/>
          <w:sz w:val="24"/>
          <w:lang w:val="en-US" w:eastAsia="zh-CN"/>
        </w:rPr>
        <w:t>2</w:t>
      </w:r>
      <w:r>
        <w:rPr>
          <w:rFonts w:ascii="宋体" w:hAnsi="宋体" w:eastAsia="宋体"/>
          <w:bCs/>
          <w:sz w:val="24"/>
        </w:rPr>
        <w:t>.</w:t>
      </w:r>
      <w:r>
        <w:rPr>
          <w:rFonts w:hint="eastAsia" w:ascii="宋体" w:hAnsi="宋体" w:eastAsia="宋体"/>
          <w:bCs/>
          <w:sz w:val="24"/>
        </w:rPr>
        <w:t>文化产业整体发展</w:t>
      </w:r>
      <w:r>
        <w:rPr>
          <w:rFonts w:hint="eastAsia" w:ascii="宋体" w:hAnsi="宋体" w:eastAsia="宋体"/>
          <w:bCs/>
          <w:sz w:val="24"/>
          <w:lang w:val="en-US" w:eastAsia="zh-CN"/>
        </w:rPr>
        <w:t>分析</w:t>
      </w:r>
      <w:r>
        <w:rPr>
          <w:rFonts w:hint="eastAsia" w:ascii="宋体" w:hAnsi="宋体" w:eastAsia="宋体"/>
          <w:bCs/>
          <w:sz w:val="24"/>
        </w:rPr>
        <w:t>。</w:t>
      </w:r>
      <w:r>
        <w:rPr>
          <w:rFonts w:hint="eastAsia" w:ascii="宋体" w:hAnsi="宋体" w:eastAsia="宋体"/>
          <w:bCs/>
          <w:sz w:val="24"/>
          <w:lang w:val="en-US" w:eastAsia="zh-CN"/>
        </w:rPr>
        <w:t>包括</w:t>
      </w:r>
      <w:r>
        <w:rPr>
          <w:rFonts w:hint="eastAsia" w:ascii="宋体" w:hAnsi="宋体" w:eastAsia="宋体"/>
          <w:bCs/>
          <w:sz w:val="24"/>
        </w:rPr>
        <w:t>明确国家对文化产业的总体定位、发展目标和重点扶持方向</w:t>
      </w:r>
      <w:r>
        <w:rPr>
          <w:rFonts w:hint="eastAsia" w:ascii="宋体" w:hAnsi="宋体" w:eastAsia="宋体"/>
          <w:bCs/>
          <w:sz w:val="24"/>
          <w:lang w:val="en-US" w:eastAsia="zh-CN"/>
        </w:rPr>
        <w:t>；界定文化产业范畴；整理近年来文化产业的市场规模、产业结构、消费趋势等数据，分析数据变动趋势并识别增长点与潜力板块。</w:t>
      </w:r>
    </w:p>
    <w:p>
      <w:pPr>
        <w:pStyle w:val="13"/>
        <w:snapToGrid w:val="0"/>
        <w:spacing w:after="156" w:afterLines="50" w:line="480" w:lineRule="exact"/>
        <w:ind w:firstLine="480"/>
        <w:jc w:val="both"/>
        <w:rPr>
          <w:rFonts w:hint="eastAsia" w:ascii="宋体" w:hAnsi="宋体" w:eastAsia="宋体"/>
          <w:bCs/>
          <w:sz w:val="24"/>
          <w:u w:val="single"/>
          <w:lang w:val="en-US" w:eastAsia="zh-CN"/>
        </w:rPr>
      </w:pPr>
      <w:r>
        <w:rPr>
          <w:rFonts w:hint="eastAsia" w:ascii="宋体" w:hAnsi="宋体" w:eastAsia="宋体"/>
          <w:bCs/>
          <w:sz w:val="24"/>
          <w:lang w:val="en-US" w:eastAsia="zh-CN"/>
        </w:rPr>
        <w:t>3</w:t>
      </w:r>
      <w:r>
        <w:rPr>
          <w:rFonts w:ascii="宋体" w:hAnsi="宋体" w:eastAsia="宋体"/>
          <w:bCs/>
          <w:sz w:val="24"/>
        </w:rPr>
        <w:t>.</w:t>
      </w:r>
      <w:r>
        <w:rPr>
          <w:rFonts w:hint="eastAsia" w:ascii="宋体" w:hAnsi="宋体" w:eastAsia="宋体"/>
          <w:bCs/>
          <w:sz w:val="24"/>
          <w:lang w:val="en-US" w:eastAsia="zh-CN"/>
        </w:rPr>
        <w:t>文化细分领域发展分析。包括对文化遗产与旅游（文旅）、文化会展与节庆活动（文博）、文化创意与设计（文创</w:t>
      </w:r>
      <w:r>
        <w:rPr>
          <w:rFonts w:hint="default" w:ascii="宋体" w:hAnsi="宋体" w:eastAsia="宋体"/>
          <w:bCs/>
          <w:sz w:val="24"/>
          <w:lang w:eastAsia="zh-CN"/>
        </w:rPr>
        <w:t>产品</w:t>
      </w:r>
      <w:r>
        <w:rPr>
          <w:rFonts w:hint="eastAsia" w:ascii="宋体" w:hAnsi="宋体" w:eastAsia="宋体"/>
          <w:bCs/>
          <w:sz w:val="24"/>
          <w:lang w:val="en-US" w:eastAsia="zh-CN"/>
        </w:rPr>
        <w:t>、IP衍生品）、文化服务（文化教育、数字化）领域的政策分析、市场分析、产业链解析、成熟案例解析</w:t>
      </w:r>
      <w:r>
        <w:rPr>
          <w:rFonts w:hint="eastAsia" w:ascii="宋体" w:hAnsi="宋体" w:eastAsia="宋体" w:cs="宋体"/>
          <w:bCs/>
          <w:sz w:val="24"/>
          <w:u w:val="none"/>
          <w:lang w:val="en-US" w:eastAsia="zh-CN"/>
        </w:rPr>
        <w:t>（具体包括结合国家战略评估各项政策对文化细分产业的直接与间接影响，识别政策带来的发展机遇；整理近年来文化产业各细分领域的市场规模、增长率、产业结构、投资情况、消费趋势等数据；将该细分产业的产业链分为上游、中游和下游三个主要部分，</w:t>
      </w:r>
      <w:r>
        <w:rPr>
          <w:rFonts w:hint="eastAsia" w:ascii="宋体" w:hAnsi="宋体" w:eastAsia="宋体" w:cs="宋体"/>
          <w:bCs/>
          <w:sz w:val="24"/>
          <w:highlight w:val="none"/>
          <w:u w:val="none"/>
          <w:lang w:val="en-US" w:eastAsia="zh-CN"/>
        </w:rPr>
        <w:t>上游一般涉及创意设计、原材料供应、技术研发等，中游为核心生产制造，下游则是市场推广、分销渠道和消费者终端，解</w:t>
      </w:r>
      <w:r>
        <w:rPr>
          <w:rFonts w:hint="eastAsia" w:ascii="宋体" w:hAnsi="宋体" w:eastAsia="宋体" w:cs="宋体"/>
          <w:bCs/>
          <w:sz w:val="24"/>
          <w:u w:val="none"/>
          <w:lang w:val="en-US" w:eastAsia="zh-CN"/>
        </w:rPr>
        <w:t>析产业链内部的运作关系、投入产出关系、合作机制、资源整合方式等；分析典型成功案例，了解其发展模式、市场策略、市场地位、技术创新、竞争优势等方面，探讨其对集邮文化产业的启示和可复制性）</w:t>
      </w:r>
      <w:r>
        <w:rPr>
          <w:rFonts w:hint="eastAsia" w:ascii="宋体" w:hAnsi="宋体" w:eastAsia="宋体"/>
          <w:bCs/>
          <w:sz w:val="24"/>
          <w:u w:val="none"/>
          <w:lang w:val="en-US" w:eastAsia="zh-CN"/>
        </w:rPr>
        <w:t>。</w:t>
      </w:r>
    </w:p>
    <w:p>
      <w:pPr>
        <w:pStyle w:val="13"/>
        <w:snapToGrid w:val="0"/>
        <w:spacing w:after="156" w:afterLines="50" w:line="480" w:lineRule="exact"/>
        <w:ind w:firstLine="482"/>
        <w:jc w:val="left"/>
        <w:rPr>
          <w:rFonts w:ascii="宋体" w:hAnsi="宋体" w:eastAsia="宋体"/>
          <w:b/>
          <w:bCs/>
          <w:sz w:val="24"/>
        </w:rPr>
      </w:pPr>
      <w:r>
        <w:rPr>
          <w:rFonts w:hint="eastAsia" w:ascii="宋体" w:hAnsi="宋体" w:eastAsia="宋体"/>
          <w:b/>
          <w:bCs/>
          <w:sz w:val="24"/>
        </w:rPr>
        <w:t>（三）预期效果：</w:t>
      </w:r>
    </w:p>
    <w:p>
      <w:pPr>
        <w:pStyle w:val="13"/>
        <w:snapToGrid w:val="0"/>
        <w:spacing w:after="156" w:afterLines="50" w:line="480" w:lineRule="exact"/>
        <w:ind w:firstLine="480"/>
        <w:jc w:val="both"/>
        <w:rPr>
          <w:rFonts w:hint="eastAsia" w:ascii="宋体" w:hAnsi="宋体" w:eastAsia="宋体"/>
          <w:bCs/>
          <w:sz w:val="24"/>
          <w:lang w:val="en-US" w:eastAsia="zh-CN"/>
        </w:rPr>
      </w:pPr>
      <w:r>
        <w:rPr>
          <w:rFonts w:hint="eastAsia" w:ascii="宋体" w:hAnsi="宋体" w:eastAsia="宋体"/>
          <w:bCs/>
          <w:sz w:val="24"/>
        </w:rPr>
        <w:t>将上述分析整合成书面报告，确保内容</w:t>
      </w:r>
      <w:r>
        <w:rPr>
          <w:rFonts w:hint="eastAsia" w:ascii="宋体" w:hAnsi="宋体" w:eastAsia="宋体"/>
          <w:bCs/>
          <w:sz w:val="24"/>
          <w:lang w:val="en-US" w:eastAsia="zh-CN"/>
        </w:rPr>
        <w:t>详实、</w:t>
      </w:r>
      <w:r>
        <w:rPr>
          <w:rFonts w:hint="eastAsia" w:ascii="宋体" w:hAnsi="宋体" w:eastAsia="宋体"/>
          <w:bCs/>
          <w:sz w:val="24"/>
        </w:rPr>
        <w:t>结构清晰、数据准确、观点鲜明，</w:t>
      </w:r>
      <w:r>
        <w:rPr>
          <w:rFonts w:hint="eastAsia" w:ascii="宋体" w:hAnsi="宋体" w:eastAsia="宋体"/>
          <w:bCs/>
          <w:sz w:val="24"/>
          <w:lang w:val="en-US" w:eastAsia="zh-CN"/>
        </w:rPr>
        <w:t>为</w:t>
      </w:r>
      <w:r>
        <w:rPr>
          <w:rFonts w:hint="eastAsia" w:ascii="宋体" w:hAnsi="宋体" w:eastAsia="宋体"/>
          <w:bCs/>
          <w:sz w:val="24"/>
        </w:rPr>
        <w:t>我院把握文化产业内部的动态关联与集邮产业的嵌入点</w:t>
      </w:r>
      <w:r>
        <w:rPr>
          <w:rFonts w:hint="eastAsia" w:ascii="宋体" w:hAnsi="宋体" w:eastAsia="宋体"/>
          <w:bCs/>
          <w:sz w:val="24"/>
          <w:lang w:val="en-US" w:eastAsia="zh-CN"/>
        </w:rPr>
        <w:t>提供</w:t>
      </w:r>
      <w:r>
        <w:rPr>
          <w:rFonts w:hint="eastAsia" w:ascii="宋体" w:hAnsi="宋体" w:eastAsia="宋体"/>
          <w:bCs/>
          <w:sz w:val="24"/>
        </w:rPr>
        <w:t>实证基础</w:t>
      </w:r>
      <w:r>
        <w:rPr>
          <w:rFonts w:hint="eastAsia" w:ascii="宋体" w:hAnsi="宋体" w:eastAsia="宋体"/>
          <w:bCs/>
          <w:sz w:val="24"/>
          <w:lang w:eastAsia="zh-CN"/>
        </w:rPr>
        <w:t>，</w:t>
      </w:r>
      <w:r>
        <w:rPr>
          <w:rFonts w:hint="eastAsia" w:ascii="宋体" w:hAnsi="宋体" w:eastAsia="宋体"/>
          <w:bCs/>
          <w:sz w:val="24"/>
          <w:lang w:val="en-US" w:eastAsia="zh-CN"/>
        </w:rPr>
        <w:t>同时在咨询过程中</w:t>
      </w:r>
      <w:r>
        <w:rPr>
          <w:rFonts w:hint="eastAsia" w:ascii="宋体" w:hAnsi="宋体" w:eastAsia="宋体"/>
          <w:sz w:val="24"/>
        </w:rPr>
        <w:t>加深与行业专家的交流</w:t>
      </w:r>
      <w:r>
        <w:rPr>
          <w:rFonts w:hint="eastAsia" w:ascii="宋体" w:hAnsi="宋体" w:eastAsia="宋体"/>
          <w:bCs/>
          <w:sz w:val="24"/>
          <w:lang w:val="en-US" w:eastAsia="zh-CN"/>
        </w:rPr>
        <w:t>，深化对议题的理解，</w:t>
      </w:r>
      <w:r>
        <w:rPr>
          <w:rFonts w:hint="eastAsia" w:ascii="宋体" w:hAnsi="宋体" w:eastAsia="宋体"/>
          <w:bCs/>
          <w:sz w:val="24"/>
        </w:rPr>
        <w:t>提升</w:t>
      </w:r>
      <w:r>
        <w:rPr>
          <w:rFonts w:hint="eastAsia" w:ascii="宋体" w:hAnsi="宋体" w:eastAsia="宋体"/>
          <w:bCs/>
          <w:sz w:val="24"/>
          <w:lang w:val="en-US" w:eastAsia="zh-CN"/>
        </w:rPr>
        <w:t>我院研究</w:t>
      </w:r>
      <w:r>
        <w:rPr>
          <w:rFonts w:hint="eastAsia" w:ascii="宋体" w:hAnsi="宋体" w:eastAsia="宋体"/>
          <w:bCs/>
          <w:sz w:val="24"/>
        </w:rPr>
        <w:t>团队自身在特定领域的研究能力和技术水平</w:t>
      </w:r>
      <w:r>
        <w:rPr>
          <w:rFonts w:hint="eastAsia" w:ascii="宋体" w:hAnsi="宋体" w:eastAsia="宋体"/>
          <w:bCs/>
          <w:sz w:val="24"/>
          <w:lang w:eastAsia="zh-CN"/>
        </w:rPr>
        <w:t>，</w:t>
      </w:r>
      <w:r>
        <w:rPr>
          <w:rFonts w:hint="eastAsia" w:ascii="宋体" w:hAnsi="宋体" w:eastAsia="宋体"/>
          <w:bCs/>
          <w:sz w:val="24"/>
          <w:lang w:val="en-US" w:eastAsia="zh-CN"/>
        </w:rPr>
        <w:t>积累宝贵的业界联系与研究资源。</w:t>
      </w:r>
    </w:p>
    <w:p>
      <w:pPr>
        <w:pStyle w:val="13"/>
        <w:spacing w:before="156" w:beforeLines="50" w:line="480" w:lineRule="exact"/>
        <w:ind w:left="-11" w:firstLine="0" w:firstLineChars="0"/>
        <w:outlineLvl w:val="0"/>
        <w:rPr>
          <w:rFonts w:ascii="宋体" w:hAnsi="宋体" w:eastAsia="宋体"/>
          <w:b/>
          <w:bCs/>
          <w:sz w:val="24"/>
        </w:rPr>
      </w:pPr>
      <w:r>
        <w:rPr>
          <w:rFonts w:hint="eastAsia" w:ascii="宋体" w:hAnsi="宋体" w:eastAsia="宋体"/>
          <w:b/>
          <w:bCs/>
          <w:sz w:val="24"/>
        </w:rPr>
        <w:t>四、对供应商的要求</w:t>
      </w:r>
    </w:p>
    <w:p>
      <w:pPr>
        <w:pStyle w:val="13"/>
        <w:snapToGrid w:val="0"/>
        <w:spacing w:after="156" w:afterLines="50" w:line="480" w:lineRule="exact"/>
        <w:ind w:firstLine="480"/>
        <w:jc w:val="both"/>
        <w:rPr>
          <w:rFonts w:hint="eastAsia" w:ascii="宋体" w:hAnsi="宋体" w:eastAsia="宋体"/>
          <w:bCs/>
          <w:sz w:val="24"/>
          <w:lang w:val="en-US" w:eastAsia="zh-CN"/>
        </w:rPr>
      </w:pPr>
      <w:r>
        <w:rPr>
          <w:rFonts w:hint="eastAsia" w:ascii="宋体" w:hAnsi="宋体" w:eastAsia="宋体"/>
          <w:bCs/>
          <w:sz w:val="24"/>
        </w:rPr>
        <w:t>（一）</w:t>
      </w:r>
      <w:r>
        <w:rPr>
          <w:rFonts w:hint="eastAsia" w:ascii="宋体" w:hAnsi="宋体" w:eastAsia="宋体"/>
          <w:bCs/>
          <w:sz w:val="24"/>
          <w:lang w:val="en-US" w:eastAsia="zh-CN"/>
        </w:rPr>
        <w:t>行业专业知识：</w:t>
      </w:r>
      <w:r>
        <w:rPr>
          <w:rFonts w:hint="eastAsia" w:ascii="宋体" w:hAnsi="宋体" w:eastAsia="宋体"/>
          <w:bCs/>
          <w:sz w:val="24"/>
        </w:rPr>
        <w:t>供应商</w:t>
      </w:r>
      <w:r>
        <w:rPr>
          <w:rFonts w:hint="eastAsia" w:ascii="宋体" w:hAnsi="宋体" w:eastAsia="宋体"/>
          <w:bCs/>
          <w:sz w:val="24"/>
          <w:lang w:val="en-US" w:eastAsia="zh-CN"/>
        </w:rPr>
        <w:t>需在文化产业研究领域具备丰富经验，拥有由行业专家与分析师组成的团队，能够精准解读国家政策、行业趋势与市场动态。</w:t>
      </w:r>
    </w:p>
    <w:p>
      <w:pPr>
        <w:pStyle w:val="13"/>
        <w:snapToGrid w:val="0"/>
        <w:spacing w:after="156" w:afterLines="50" w:line="480" w:lineRule="exact"/>
        <w:ind w:firstLine="480"/>
        <w:jc w:val="both"/>
        <w:rPr>
          <w:rFonts w:hint="eastAsia" w:ascii="宋体" w:hAnsi="宋体" w:eastAsia="宋体"/>
          <w:bCs/>
          <w:sz w:val="24"/>
          <w:lang w:val="en-US" w:eastAsia="zh-CN"/>
        </w:rPr>
      </w:pPr>
      <w:r>
        <w:rPr>
          <w:rFonts w:hint="eastAsia" w:ascii="宋体" w:hAnsi="宋体" w:eastAsia="宋体"/>
          <w:bCs/>
          <w:sz w:val="24"/>
          <w:lang w:val="en-US" w:eastAsia="zh-CN"/>
        </w:rPr>
        <w:t>（二）数据分析能力：</w:t>
      </w:r>
      <w:r>
        <w:rPr>
          <w:rFonts w:hint="eastAsia" w:ascii="宋体" w:hAnsi="宋体" w:eastAsia="宋体"/>
          <w:bCs/>
          <w:sz w:val="24"/>
        </w:rPr>
        <w:t>供应商</w:t>
      </w:r>
      <w:r>
        <w:rPr>
          <w:rFonts w:hint="eastAsia" w:ascii="宋体" w:hAnsi="宋体" w:eastAsia="宋体"/>
          <w:bCs/>
          <w:sz w:val="24"/>
          <w:lang w:val="en-US" w:eastAsia="zh-CN"/>
        </w:rPr>
        <w:t>应具备强大的数据获取渠道和先进的数据分析技术，能够收集并解析最新的市场数据、政策导向及行业趋势，采用科学的研究方法与分析模型，确保报告内容的准确性和深度。</w:t>
      </w:r>
    </w:p>
    <w:p>
      <w:pPr>
        <w:pStyle w:val="13"/>
        <w:snapToGrid w:val="0"/>
        <w:spacing w:after="156" w:afterLines="50" w:line="480" w:lineRule="exact"/>
        <w:ind w:firstLine="480"/>
        <w:jc w:val="both"/>
        <w:rPr>
          <w:rFonts w:hint="eastAsia" w:ascii="宋体" w:hAnsi="宋体" w:eastAsia="宋体"/>
          <w:bCs/>
          <w:sz w:val="24"/>
        </w:rPr>
      </w:pPr>
      <w:r>
        <w:rPr>
          <w:rFonts w:hint="eastAsia" w:ascii="宋体" w:hAnsi="宋体" w:eastAsia="宋体"/>
          <w:bCs/>
          <w:sz w:val="24"/>
          <w:lang w:val="en-US" w:eastAsia="zh-CN"/>
        </w:rPr>
        <w:t>（三）理解与服务能力：</w:t>
      </w:r>
      <w:r>
        <w:rPr>
          <w:rFonts w:hint="eastAsia" w:ascii="宋体" w:hAnsi="宋体" w:eastAsia="宋体"/>
          <w:bCs/>
          <w:sz w:val="24"/>
        </w:rPr>
        <w:t>供应商需展示出深刻理解项目目标的能力，与我院密切沟通，能够根据我院的具体需求</w:t>
      </w:r>
      <w:r>
        <w:rPr>
          <w:rFonts w:hint="eastAsia" w:ascii="宋体" w:hAnsi="宋体" w:eastAsia="宋体"/>
          <w:bCs/>
          <w:sz w:val="24"/>
          <w:lang w:val="en-US" w:eastAsia="zh-CN"/>
        </w:rPr>
        <w:t>及时限内完成</w:t>
      </w:r>
      <w:r>
        <w:rPr>
          <w:rFonts w:hint="eastAsia" w:ascii="宋体" w:hAnsi="宋体" w:eastAsia="宋体"/>
          <w:bCs/>
          <w:sz w:val="24"/>
        </w:rPr>
        <w:t>报告</w:t>
      </w:r>
      <w:r>
        <w:rPr>
          <w:rFonts w:hint="eastAsia" w:ascii="宋体" w:hAnsi="宋体" w:eastAsia="宋体"/>
          <w:bCs/>
          <w:sz w:val="24"/>
          <w:lang w:eastAsia="zh-CN"/>
        </w:rPr>
        <w:t>，</w:t>
      </w:r>
      <w:r>
        <w:rPr>
          <w:rFonts w:hint="eastAsia" w:ascii="宋体" w:hAnsi="宋体" w:eastAsia="宋体"/>
          <w:bCs/>
          <w:sz w:val="24"/>
        </w:rPr>
        <w:t>确保</w:t>
      </w:r>
      <w:r>
        <w:rPr>
          <w:rFonts w:hint="eastAsia" w:ascii="宋体" w:hAnsi="宋体" w:eastAsia="宋体"/>
          <w:bCs/>
          <w:sz w:val="24"/>
          <w:lang w:val="en-US" w:eastAsia="zh-CN"/>
        </w:rPr>
        <w:t>报告</w:t>
      </w:r>
      <w:r>
        <w:rPr>
          <w:rFonts w:hint="eastAsia" w:ascii="宋体" w:hAnsi="宋体" w:eastAsia="宋体"/>
          <w:bCs/>
          <w:sz w:val="24"/>
        </w:rPr>
        <w:t>紧密贴合文化产业报告内容与研究目的。</w:t>
      </w:r>
    </w:p>
    <w:p>
      <w:pPr>
        <w:pStyle w:val="13"/>
        <w:snapToGrid w:val="0"/>
        <w:spacing w:after="156" w:afterLines="50" w:line="480" w:lineRule="exact"/>
        <w:ind w:firstLine="480"/>
        <w:jc w:val="both"/>
        <w:rPr>
          <w:rFonts w:hint="default" w:ascii="宋体" w:hAnsi="宋体" w:eastAsia="宋体"/>
          <w:bCs/>
          <w:sz w:val="24"/>
          <w:lang w:val="en-US" w:eastAsia="zh-CN"/>
        </w:rPr>
      </w:pPr>
      <w:r>
        <w:rPr>
          <w:rFonts w:hint="eastAsia" w:ascii="宋体" w:hAnsi="宋体" w:eastAsia="宋体"/>
          <w:bCs/>
          <w:sz w:val="24"/>
          <w:lang w:val="en-US" w:eastAsia="zh-CN"/>
        </w:rPr>
        <w:t>（四）报告呈现质量：</w:t>
      </w:r>
      <w:r>
        <w:rPr>
          <w:rFonts w:hint="default" w:ascii="宋体" w:hAnsi="宋体" w:eastAsia="宋体"/>
          <w:bCs/>
          <w:sz w:val="24"/>
          <w:lang w:val="en-US" w:eastAsia="zh-CN"/>
        </w:rPr>
        <w:t>供应商需有严格的质量控制流程</w:t>
      </w:r>
      <w:r>
        <w:rPr>
          <w:rFonts w:hint="eastAsia" w:ascii="宋体" w:hAnsi="宋体" w:eastAsia="宋体"/>
          <w:bCs/>
          <w:sz w:val="24"/>
          <w:lang w:val="en-US" w:eastAsia="zh-CN"/>
        </w:rPr>
        <w:t>，报告应结构清晰、逻辑严密、图表丰富，</w:t>
      </w:r>
      <w:r>
        <w:rPr>
          <w:rFonts w:hint="default" w:ascii="宋体" w:hAnsi="宋体" w:eastAsia="宋体"/>
          <w:bCs/>
          <w:sz w:val="24"/>
          <w:lang w:val="en-US" w:eastAsia="zh-CN"/>
        </w:rPr>
        <w:t>数据可靠</w:t>
      </w:r>
      <w:r>
        <w:rPr>
          <w:rFonts w:hint="eastAsia" w:ascii="宋体" w:hAnsi="宋体" w:eastAsia="宋体"/>
          <w:bCs/>
          <w:sz w:val="24"/>
          <w:lang w:val="en-US" w:eastAsia="zh-CN"/>
        </w:rPr>
        <w:t>，</w:t>
      </w:r>
      <w:r>
        <w:rPr>
          <w:rFonts w:hint="default" w:ascii="宋体" w:hAnsi="宋体" w:eastAsia="宋体"/>
          <w:bCs/>
          <w:sz w:val="24"/>
          <w:lang w:val="en-US" w:eastAsia="zh-CN"/>
        </w:rPr>
        <w:t>所有数据、案例分析均需注明来源，保</w:t>
      </w:r>
      <w:r>
        <w:rPr>
          <w:rFonts w:hint="eastAsia" w:ascii="宋体" w:hAnsi="宋体" w:eastAsia="宋体"/>
          <w:bCs/>
          <w:sz w:val="24"/>
          <w:lang w:val="en-US" w:eastAsia="zh-CN"/>
        </w:rPr>
        <w:t>证</w:t>
      </w:r>
      <w:r>
        <w:rPr>
          <w:rFonts w:hint="default" w:ascii="宋体" w:hAnsi="宋体" w:eastAsia="宋体"/>
          <w:bCs/>
          <w:sz w:val="24"/>
          <w:lang w:val="en-US" w:eastAsia="zh-CN"/>
        </w:rPr>
        <w:t>信息的准确无误</w:t>
      </w:r>
      <w:r>
        <w:rPr>
          <w:rFonts w:hint="eastAsia" w:ascii="宋体" w:hAnsi="宋体" w:eastAsia="宋体"/>
          <w:bCs/>
          <w:sz w:val="24"/>
          <w:lang w:val="en-US" w:eastAsia="zh-CN"/>
        </w:rPr>
        <w:t>，同时提供PPT电子版报告选项。</w:t>
      </w:r>
    </w:p>
    <w:p>
      <w:pPr>
        <w:pStyle w:val="13"/>
        <w:snapToGrid w:val="0"/>
        <w:spacing w:after="156" w:afterLines="50" w:line="480" w:lineRule="exact"/>
        <w:ind w:firstLine="480"/>
        <w:jc w:val="both"/>
        <w:rPr>
          <w:rFonts w:hint="eastAsia" w:ascii="宋体" w:hAnsi="宋体" w:eastAsia="宋体"/>
          <w:bCs/>
          <w:sz w:val="24"/>
          <w:lang w:val="en-US" w:eastAsia="zh-CN"/>
        </w:rPr>
      </w:pPr>
      <w:r>
        <w:rPr>
          <w:rFonts w:hint="eastAsia" w:ascii="宋体" w:hAnsi="宋体" w:eastAsia="宋体"/>
          <w:bCs/>
          <w:sz w:val="24"/>
          <w:lang w:eastAsia="zh-CN"/>
        </w:rPr>
        <w:t>（</w:t>
      </w:r>
      <w:r>
        <w:rPr>
          <w:rFonts w:hint="eastAsia" w:ascii="宋体" w:hAnsi="宋体" w:eastAsia="宋体"/>
          <w:bCs/>
          <w:sz w:val="24"/>
          <w:lang w:val="en-US" w:eastAsia="zh-CN"/>
        </w:rPr>
        <w:t>五）保密协议：供应商需签署保密协议，保证为我院提供的资料及研究成果的安全，不得泄露给第三方。</w:t>
      </w:r>
    </w:p>
    <w:p>
      <w:pPr>
        <w:pStyle w:val="13"/>
        <w:snapToGrid w:val="0"/>
        <w:spacing w:after="156" w:afterLines="50" w:line="480" w:lineRule="exact"/>
        <w:ind w:left="480" w:firstLine="0" w:firstLineChars="0"/>
        <w:jc w:val="both"/>
        <w:rPr>
          <w:rFonts w:ascii="宋体" w:hAnsi="宋体" w:eastAsia="宋体"/>
          <w:bCs/>
          <w:sz w:val="24"/>
        </w:rPr>
      </w:pPr>
      <w:r>
        <w:rPr>
          <w:rFonts w:hint="eastAsia" w:ascii="宋体" w:hAnsi="宋体" w:eastAsia="宋体"/>
          <w:bCs/>
          <w:sz w:val="24"/>
        </w:rPr>
        <w:t>（</w:t>
      </w:r>
      <w:r>
        <w:rPr>
          <w:rFonts w:hint="eastAsia" w:ascii="宋体" w:hAnsi="宋体" w:eastAsia="宋体"/>
          <w:bCs/>
          <w:sz w:val="24"/>
          <w:lang w:val="en-US" w:eastAsia="zh-CN"/>
        </w:rPr>
        <w:t>六</w:t>
      </w:r>
      <w:r>
        <w:rPr>
          <w:rFonts w:hint="eastAsia" w:ascii="宋体" w:hAnsi="宋体" w:eastAsia="宋体"/>
          <w:bCs/>
          <w:sz w:val="24"/>
        </w:rPr>
        <w:t>）开具发票：能够开具“</w:t>
      </w:r>
      <w:r>
        <w:rPr>
          <w:rFonts w:hint="eastAsia" w:ascii="宋体" w:hAnsi="宋体" w:eastAsia="宋体"/>
          <w:bCs/>
          <w:sz w:val="24"/>
          <w:lang w:val="en-US" w:eastAsia="zh-CN"/>
        </w:rPr>
        <w:t>技术服务费</w:t>
      </w:r>
      <w:r>
        <w:rPr>
          <w:rFonts w:hint="eastAsia" w:ascii="宋体" w:hAnsi="宋体" w:eastAsia="宋体"/>
          <w:bCs/>
          <w:sz w:val="24"/>
        </w:rPr>
        <w:t>”发票。</w:t>
      </w:r>
    </w:p>
    <w:p>
      <w:pPr>
        <w:pStyle w:val="13"/>
        <w:spacing w:before="156" w:beforeLines="50" w:line="480" w:lineRule="exact"/>
        <w:ind w:left="-11" w:firstLine="0" w:firstLineChars="0"/>
        <w:outlineLvl w:val="0"/>
        <w:rPr>
          <w:rFonts w:ascii="宋体" w:hAnsi="宋体" w:eastAsia="宋体"/>
          <w:b/>
          <w:bCs/>
          <w:sz w:val="24"/>
        </w:rPr>
      </w:pPr>
      <w:r>
        <w:rPr>
          <w:rFonts w:hint="eastAsia" w:ascii="宋体" w:hAnsi="宋体" w:eastAsia="宋体"/>
          <w:b/>
          <w:bCs/>
          <w:sz w:val="24"/>
        </w:rPr>
        <w:t>五、交付要求</w:t>
      </w:r>
    </w:p>
    <w:p>
      <w:pPr>
        <w:snapToGrid w:val="0"/>
        <w:spacing w:after="156" w:afterLines="50" w:line="480" w:lineRule="exact"/>
        <w:ind w:firstLine="480" w:firstLineChars="200"/>
        <w:jc w:val="both"/>
        <w:rPr>
          <w:rFonts w:ascii="宋体" w:hAnsi="宋体" w:eastAsia="宋体"/>
          <w:sz w:val="24"/>
        </w:rPr>
      </w:pPr>
      <w:r>
        <w:rPr>
          <w:rFonts w:hint="eastAsia" w:ascii="宋体" w:hAnsi="宋体" w:eastAsia="宋体"/>
          <w:sz w:val="24"/>
        </w:rPr>
        <w:t>本项目1次完成交付：预计202</w:t>
      </w:r>
      <w:r>
        <w:rPr>
          <w:rFonts w:hint="eastAsia" w:ascii="宋体" w:hAnsi="宋体" w:eastAsia="宋体"/>
          <w:sz w:val="24"/>
          <w:lang w:val="en-US" w:eastAsia="zh-CN"/>
        </w:rPr>
        <w:t>4</w:t>
      </w:r>
      <w:r>
        <w:rPr>
          <w:rFonts w:hint="eastAsia" w:ascii="宋体" w:hAnsi="宋体" w:eastAsia="宋体"/>
          <w:sz w:val="24"/>
        </w:rPr>
        <w:t>年</w:t>
      </w:r>
      <w:r>
        <w:rPr>
          <w:rFonts w:hint="eastAsia" w:ascii="宋体" w:hAnsi="宋体" w:eastAsia="宋体"/>
          <w:sz w:val="24"/>
          <w:lang w:val="en-US" w:eastAsia="zh-CN"/>
        </w:rPr>
        <w:t>10</w:t>
      </w:r>
      <w:r>
        <w:rPr>
          <w:rFonts w:hint="eastAsia" w:ascii="宋体" w:hAnsi="宋体" w:eastAsia="宋体"/>
          <w:sz w:val="24"/>
        </w:rPr>
        <w:t>月</w:t>
      </w:r>
      <w:r>
        <w:rPr>
          <w:rFonts w:hint="eastAsia" w:ascii="宋体" w:hAnsi="宋体" w:eastAsia="宋体"/>
          <w:sz w:val="24"/>
          <w:lang w:val="en-US" w:eastAsia="zh-CN"/>
        </w:rPr>
        <w:t>19</w:t>
      </w:r>
      <w:bookmarkStart w:id="0" w:name="_GoBack"/>
      <w:bookmarkEnd w:id="0"/>
      <w:r>
        <w:rPr>
          <w:rFonts w:hint="eastAsia" w:ascii="宋体" w:hAnsi="宋体" w:eastAsia="宋体"/>
          <w:sz w:val="24"/>
          <w:lang w:val="en-US" w:eastAsia="zh-CN"/>
        </w:rPr>
        <w:t>日</w:t>
      </w:r>
      <w:r>
        <w:rPr>
          <w:rFonts w:hint="eastAsia" w:ascii="宋体" w:hAnsi="宋体" w:eastAsia="宋体"/>
          <w:sz w:val="24"/>
        </w:rPr>
        <w:t>前完成</w:t>
      </w:r>
      <w:r>
        <w:rPr>
          <w:rFonts w:hint="eastAsia" w:ascii="宋体" w:hAnsi="宋体" w:eastAsia="宋体"/>
          <w:sz w:val="24"/>
          <w:lang w:val="en-US" w:eastAsia="zh-CN"/>
        </w:rPr>
        <w:t>报告</w:t>
      </w:r>
      <w:r>
        <w:rPr>
          <w:rFonts w:hint="eastAsia" w:ascii="宋体" w:hAnsi="宋体" w:eastAsia="宋体"/>
          <w:sz w:val="24"/>
        </w:rPr>
        <w:t>。</w:t>
      </w:r>
    </w:p>
    <w:p>
      <w:pPr>
        <w:pStyle w:val="13"/>
        <w:spacing w:before="156" w:beforeLines="50" w:line="480" w:lineRule="exact"/>
        <w:ind w:left="-11" w:firstLine="0" w:firstLineChars="0"/>
        <w:outlineLvl w:val="0"/>
        <w:rPr>
          <w:rFonts w:ascii="宋体" w:hAnsi="宋体" w:eastAsia="宋体"/>
          <w:b/>
          <w:bCs/>
          <w:sz w:val="24"/>
        </w:rPr>
      </w:pPr>
      <w:r>
        <w:rPr>
          <w:rFonts w:hint="eastAsia" w:ascii="宋体" w:hAnsi="宋体" w:eastAsia="宋体"/>
          <w:b/>
          <w:bCs/>
          <w:sz w:val="24"/>
        </w:rPr>
        <w:t>六、验收要求</w:t>
      </w:r>
    </w:p>
    <w:p>
      <w:pPr>
        <w:snapToGrid w:val="0"/>
        <w:spacing w:after="156" w:afterLines="50" w:line="480" w:lineRule="exact"/>
        <w:ind w:firstLine="480" w:firstLineChars="200"/>
        <w:jc w:val="both"/>
        <w:rPr>
          <w:rFonts w:ascii="宋体" w:hAnsi="宋体" w:eastAsia="宋体"/>
          <w:sz w:val="24"/>
        </w:rPr>
      </w:pPr>
      <w:r>
        <w:rPr>
          <w:rFonts w:hint="eastAsia" w:ascii="宋体" w:hAnsi="宋体" w:eastAsia="宋体"/>
          <w:sz w:val="24"/>
        </w:rPr>
        <w:t>按照项目预期效果与交付要求，</w:t>
      </w:r>
      <w:r>
        <w:rPr>
          <w:rFonts w:hint="eastAsia" w:ascii="宋体" w:hAnsi="宋体" w:eastAsia="宋体"/>
          <w:sz w:val="24"/>
          <w:lang w:val="en-US" w:eastAsia="zh-CN"/>
        </w:rPr>
        <w:t>报告</w:t>
      </w:r>
      <w:r>
        <w:rPr>
          <w:rFonts w:hint="eastAsia" w:ascii="宋体" w:hAnsi="宋体" w:eastAsia="宋体"/>
          <w:sz w:val="24"/>
        </w:rPr>
        <w:t>内容完整，完成</w:t>
      </w:r>
      <w:r>
        <w:rPr>
          <w:rFonts w:hint="eastAsia" w:ascii="宋体" w:hAnsi="宋体" w:eastAsia="宋体"/>
          <w:sz w:val="24"/>
          <w:lang w:val="en-US" w:eastAsia="zh-CN"/>
        </w:rPr>
        <w:t>报告</w:t>
      </w:r>
      <w:r>
        <w:rPr>
          <w:rFonts w:hint="eastAsia" w:ascii="宋体" w:hAnsi="宋体" w:eastAsia="宋体"/>
          <w:sz w:val="24"/>
        </w:rPr>
        <w:t>。</w:t>
      </w:r>
    </w:p>
    <w:p>
      <w:pPr>
        <w:pStyle w:val="13"/>
        <w:spacing w:before="156" w:beforeLines="50" w:line="480" w:lineRule="exact"/>
        <w:ind w:left="-11" w:firstLine="0" w:firstLineChars="0"/>
        <w:outlineLvl w:val="0"/>
        <w:rPr>
          <w:rFonts w:ascii="宋体" w:hAnsi="宋体" w:eastAsia="宋体"/>
          <w:b/>
          <w:bCs/>
          <w:sz w:val="24"/>
        </w:rPr>
      </w:pPr>
      <w:r>
        <w:rPr>
          <w:rFonts w:hint="eastAsia" w:ascii="宋体" w:hAnsi="宋体" w:eastAsia="宋体"/>
          <w:b/>
          <w:bCs/>
          <w:sz w:val="24"/>
        </w:rPr>
        <w:t>七、报价要求</w:t>
      </w:r>
    </w:p>
    <w:p>
      <w:pPr>
        <w:snapToGrid w:val="0"/>
        <w:spacing w:after="156" w:afterLines="50" w:line="480" w:lineRule="exact"/>
        <w:ind w:firstLine="480" w:firstLineChars="200"/>
        <w:jc w:val="both"/>
        <w:rPr>
          <w:rFonts w:ascii="宋体" w:hAnsi="宋体" w:eastAsia="宋体"/>
          <w:sz w:val="24"/>
        </w:rPr>
      </w:pPr>
      <w:r>
        <w:rPr>
          <w:rFonts w:hint="eastAsia" w:ascii="宋体" w:hAnsi="宋体" w:eastAsia="宋体"/>
          <w:sz w:val="24"/>
        </w:rPr>
        <w:t>建议按照：总价不超过</w:t>
      </w:r>
      <w:r>
        <w:rPr>
          <w:rFonts w:hint="eastAsia" w:ascii="宋体" w:hAnsi="宋体" w:eastAsia="宋体"/>
          <w:sz w:val="24"/>
          <w:lang w:val="en-US" w:eastAsia="zh-CN"/>
        </w:rPr>
        <w:t>2.98</w:t>
      </w:r>
      <w:r>
        <w:rPr>
          <w:rFonts w:hint="eastAsia" w:ascii="宋体" w:hAnsi="宋体" w:eastAsia="宋体"/>
          <w:sz w:val="24"/>
        </w:rPr>
        <w:t>万元，报价应含本次</w:t>
      </w:r>
      <w:r>
        <w:rPr>
          <w:rFonts w:hint="eastAsia" w:ascii="宋体" w:hAnsi="宋体" w:eastAsia="宋体"/>
          <w:sz w:val="24"/>
          <w:lang w:val="en-US" w:eastAsia="zh-CN"/>
        </w:rPr>
        <w:t>咨询服务</w:t>
      </w:r>
      <w:r>
        <w:rPr>
          <w:rFonts w:hint="eastAsia" w:ascii="宋体" w:hAnsi="宋体" w:eastAsia="宋体"/>
          <w:sz w:val="24"/>
        </w:rPr>
        <w:t>产生的全部费用。</w:t>
      </w:r>
    </w:p>
    <w:p>
      <w:pPr>
        <w:pStyle w:val="2"/>
        <w:ind w:firstLine="480"/>
        <w:rPr>
          <w:rFonts w:ascii="宋体" w:hAnsi="宋体" w:eastAsia="宋体" w:cs="宋体"/>
          <w:sz w:val="24"/>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1" w:fontKey="{F1ED047D-3AA2-46C6-BA25-2B03125BDB9D}"/>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embedRegular r:id="rId2" w:fontKey="{0982E2A7-4522-412E-A39A-38379979A84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MwN2NlNTgwZTdhNjI1MzZhYmFkYzQ2NDJjYmI4OTYifQ=="/>
  </w:docVars>
  <w:rsids>
    <w:rsidRoot w:val="00AE296B"/>
    <w:rsid w:val="00047DDC"/>
    <w:rsid w:val="0006380F"/>
    <w:rsid w:val="00083066"/>
    <w:rsid w:val="00086C09"/>
    <w:rsid w:val="000C2770"/>
    <w:rsid w:val="000E0F6B"/>
    <w:rsid w:val="00107D20"/>
    <w:rsid w:val="00131E8A"/>
    <w:rsid w:val="00132AFB"/>
    <w:rsid w:val="00142B40"/>
    <w:rsid w:val="0015276C"/>
    <w:rsid w:val="00180E46"/>
    <w:rsid w:val="0023329A"/>
    <w:rsid w:val="0026497A"/>
    <w:rsid w:val="00296063"/>
    <w:rsid w:val="002A7334"/>
    <w:rsid w:val="002C3FFA"/>
    <w:rsid w:val="004248EE"/>
    <w:rsid w:val="00427182"/>
    <w:rsid w:val="004357AA"/>
    <w:rsid w:val="00450837"/>
    <w:rsid w:val="00455D48"/>
    <w:rsid w:val="005344F7"/>
    <w:rsid w:val="00555470"/>
    <w:rsid w:val="005D43FB"/>
    <w:rsid w:val="0062392F"/>
    <w:rsid w:val="0065505D"/>
    <w:rsid w:val="00682935"/>
    <w:rsid w:val="006C3060"/>
    <w:rsid w:val="006D301A"/>
    <w:rsid w:val="00743D48"/>
    <w:rsid w:val="007D5C23"/>
    <w:rsid w:val="00921C48"/>
    <w:rsid w:val="00995A93"/>
    <w:rsid w:val="009B1342"/>
    <w:rsid w:val="00A00859"/>
    <w:rsid w:val="00A404D5"/>
    <w:rsid w:val="00A70DB2"/>
    <w:rsid w:val="00A93903"/>
    <w:rsid w:val="00AE296B"/>
    <w:rsid w:val="00B24B4B"/>
    <w:rsid w:val="00B62AA9"/>
    <w:rsid w:val="00B83A45"/>
    <w:rsid w:val="00BA442B"/>
    <w:rsid w:val="00C0657E"/>
    <w:rsid w:val="00C15486"/>
    <w:rsid w:val="00C27558"/>
    <w:rsid w:val="00C86E61"/>
    <w:rsid w:val="00CD50F1"/>
    <w:rsid w:val="00D3798A"/>
    <w:rsid w:val="00D5387E"/>
    <w:rsid w:val="00D563AC"/>
    <w:rsid w:val="00D60AA6"/>
    <w:rsid w:val="00DF41F1"/>
    <w:rsid w:val="00E4684C"/>
    <w:rsid w:val="00F43F37"/>
    <w:rsid w:val="04082AD7"/>
    <w:rsid w:val="05A625A8"/>
    <w:rsid w:val="05C20583"/>
    <w:rsid w:val="08FD5A22"/>
    <w:rsid w:val="0AF0508B"/>
    <w:rsid w:val="19EF0419"/>
    <w:rsid w:val="1BCB0A96"/>
    <w:rsid w:val="220C0769"/>
    <w:rsid w:val="26DB0642"/>
    <w:rsid w:val="272A15D2"/>
    <w:rsid w:val="29974A4D"/>
    <w:rsid w:val="2A7478B3"/>
    <w:rsid w:val="2B8477BE"/>
    <w:rsid w:val="2E7D3CF7"/>
    <w:rsid w:val="2EFC36BA"/>
    <w:rsid w:val="31A91164"/>
    <w:rsid w:val="36887484"/>
    <w:rsid w:val="397A2D41"/>
    <w:rsid w:val="39F059D1"/>
    <w:rsid w:val="3B9D6269"/>
    <w:rsid w:val="3CE50112"/>
    <w:rsid w:val="404476A3"/>
    <w:rsid w:val="41517290"/>
    <w:rsid w:val="416A538C"/>
    <w:rsid w:val="42045E12"/>
    <w:rsid w:val="4BEE0F77"/>
    <w:rsid w:val="4DEA6542"/>
    <w:rsid w:val="4FAD6EC7"/>
    <w:rsid w:val="4FDB77FC"/>
    <w:rsid w:val="518C3EDA"/>
    <w:rsid w:val="53C3157B"/>
    <w:rsid w:val="5B395122"/>
    <w:rsid w:val="5C6E619F"/>
    <w:rsid w:val="5E1E68F7"/>
    <w:rsid w:val="60DD2497"/>
    <w:rsid w:val="643B7181"/>
    <w:rsid w:val="6B59096C"/>
    <w:rsid w:val="6DD710BA"/>
    <w:rsid w:val="72444307"/>
    <w:rsid w:val="77185A8F"/>
    <w:rsid w:val="7FCD563A"/>
    <w:rsid w:val="FF5FAA0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等线" w:hAnsi="等线" w:eastAsia="等线" w:cs="宋体"/>
      <w:kern w:val="2"/>
      <w:sz w:val="21"/>
      <w:szCs w:val="24"/>
      <w:lang w:val="en-US" w:eastAsia="zh-CN" w:bidi="ar-SA"/>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unhideWhenUsed/>
    <w:qFormat/>
    <w:uiPriority w:val="99"/>
    <w:pPr>
      <w:widowControl/>
      <w:spacing w:line="500" w:lineRule="exact"/>
      <w:ind w:firstLine="420" w:firstLineChars="200"/>
    </w:pPr>
    <w:rPr>
      <w:szCs w:val="24"/>
    </w:rPr>
  </w:style>
  <w:style w:type="paragraph" w:styleId="3">
    <w:name w:val="Body Text Indent"/>
    <w:basedOn w:val="1"/>
    <w:autoRedefine/>
    <w:qFormat/>
    <w:uiPriority w:val="0"/>
    <w:pPr>
      <w:adjustRightInd w:val="0"/>
      <w:spacing w:line="360" w:lineRule="auto"/>
      <w:ind w:firstLine="540"/>
      <w:textAlignment w:val="baseline"/>
    </w:pPr>
    <w:rPr>
      <w:rFonts w:ascii="仿宋_GB2312" w:hAnsi="Times New Roman" w:eastAsia="仿宋_GB2312" w:cs="Times New Roman"/>
      <w:kern w:val="0"/>
      <w:sz w:val="28"/>
      <w:szCs w:val="20"/>
    </w:rPr>
  </w:style>
  <w:style w:type="paragraph" w:styleId="4">
    <w:name w:val="Balloon Text"/>
    <w:basedOn w:val="1"/>
    <w:link w:val="17"/>
    <w:autoRedefine/>
    <w:semiHidden/>
    <w:unhideWhenUsed/>
    <w:qFormat/>
    <w:uiPriority w:val="99"/>
    <w:rPr>
      <w:sz w:val="18"/>
      <w:szCs w:val="18"/>
    </w:rPr>
  </w:style>
  <w:style w:type="paragraph" w:styleId="5">
    <w:name w:val="footer"/>
    <w:basedOn w:val="1"/>
    <w:link w:val="15"/>
    <w:autoRedefine/>
    <w:qFormat/>
    <w:uiPriority w:val="99"/>
    <w:pPr>
      <w:tabs>
        <w:tab w:val="center" w:pos="4153"/>
        <w:tab w:val="right" w:pos="8306"/>
      </w:tabs>
      <w:snapToGrid w:val="0"/>
      <w:jc w:val="left"/>
    </w:pPr>
    <w:rPr>
      <w:sz w:val="18"/>
      <w:szCs w:val="18"/>
    </w:rPr>
  </w:style>
  <w:style w:type="paragraph" w:styleId="6">
    <w:name w:val="header"/>
    <w:basedOn w:val="1"/>
    <w:link w:val="14"/>
    <w:qFormat/>
    <w:uiPriority w:val="99"/>
    <w:pPr>
      <w:tabs>
        <w:tab w:val="center" w:pos="4153"/>
        <w:tab w:val="right" w:pos="8306"/>
      </w:tabs>
      <w:snapToGrid w:val="0"/>
      <w:jc w:val="center"/>
    </w:pPr>
    <w:rPr>
      <w:sz w:val="18"/>
      <w:szCs w:val="18"/>
    </w:rPr>
  </w:style>
  <w:style w:type="paragraph" w:styleId="7">
    <w:name w:val="toc 1"/>
    <w:next w:val="1"/>
    <w:autoRedefine/>
    <w:qFormat/>
    <w:uiPriority w:val="0"/>
    <w:pPr>
      <w:spacing w:before="100" w:beforeAutospacing="1" w:after="100" w:afterAutospacing="1" w:line="360" w:lineRule="auto"/>
      <w:ind w:left="420"/>
    </w:pPr>
    <w:rPr>
      <w:rFonts w:ascii="Arial" w:hAnsi="Arial" w:eastAsia="宋体" w:cs="Times New Roman"/>
      <w:kern w:val="2"/>
      <w:sz w:val="28"/>
      <w:szCs w:val="28"/>
      <w:lang w:val="en-US" w:eastAsia="zh-CN" w:bidi="ar-SA"/>
    </w:rPr>
  </w:style>
  <w:style w:type="paragraph" w:styleId="8">
    <w:name w:val="toc 2"/>
    <w:basedOn w:val="1"/>
    <w:next w:val="1"/>
    <w:autoRedefine/>
    <w:semiHidden/>
    <w:unhideWhenUsed/>
    <w:qFormat/>
    <w:uiPriority w:val="39"/>
    <w:pPr>
      <w:ind w:left="420" w:leftChars="200"/>
    </w:pPr>
  </w:style>
  <w:style w:type="paragraph" w:styleId="9">
    <w:name w:val="Normal (Web)"/>
    <w:basedOn w:val="1"/>
    <w:autoRedefine/>
    <w:semiHidden/>
    <w:unhideWhenUsed/>
    <w:qFormat/>
    <w:uiPriority w:val="99"/>
    <w:pPr>
      <w:widowControl/>
      <w:spacing w:before="100" w:beforeAutospacing="1" w:after="100" w:afterAutospacing="1"/>
      <w:jc w:val="left"/>
    </w:pPr>
    <w:rPr>
      <w:rFonts w:ascii="宋体" w:hAnsi="宋体" w:eastAsia="宋体"/>
      <w:kern w:val="0"/>
      <w:sz w:val="24"/>
    </w:rPr>
  </w:style>
  <w:style w:type="table" w:styleId="11">
    <w:name w:val="Table Grid"/>
    <w:basedOn w:val="1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autoRedefine/>
    <w:qFormat/>
    <w:uiPriority w:val="34"/>
    <w:pPr>
      <w:ind w:firstLine="420" w:firstLineChars="200"/>
    </w:pPr>
  </w:style>
  <w:style w:type="character" w:customStyle="1" w:styleId="14">
    <w:name w:val="页眉 字符"/>
    <w:basedOn w:val="12"/>
    <w:link w:val="6"/>
    <w:autoRedefine/>
    <w:qFormat/>
    <w:uiPriority w:val="99"/>
    <w:rPr>
      <w:sz w:val="18"/>
      <w:szCs w:val="18"/>
    </w:rPr>
  </w:style>
  <w:style w:type="character" w:customStyle="1" w:styleId="15">
    <w:name w:val="页脚 字符"/>
    <w:basedOn w:val="12"/>
    <w:link w:val="5"/>
    <w:qFormat/>
    <w:uiPriority w:val="99"/>
    <w:rPr>
      <w:sz w:val="18"/>
      <w:szCs w:val="18"/>
    </w:rPr>
  </w:style>
  <w:style w:type="paragraph" w:customStyle="1" w:styleId="16">
    <w:name w:val="正文文本首行缩进 21"/>
    <w:basedOn w:val="1"/>
    <w:autoRedefine/>
    <w:qFormat/>
    <w:uiPriority w:val="0"/>
    <w:pPr>
      <w:spacing w:before="50" w:beforeLines="50" w:after="50" w:afterLines="50" w:line="500" w:lineRule="exact"/>
      <w:ind w:firstLine="420" w:firstLineChars="200"/>
    </w:pPr>
    <w:rPr>
      <w:szCs w:val="22"/>
    </w:rPr>
  </w:style>
  <w:style w:type="character" w:customStyle="1" w:styleId="17">
    <w:name w:val="批注框文本 字符"/>
    <w:basedOn w:val="12"/>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1469</Words>
  <Characters>1481</Characters>
  <Lines>6</Lines>
  <Paragraphs>1</Paragraphs>
  <TotalTime>83</TotalTime>
  <ScaleCrop>false</ScaleCrop>
  <LinksUpToDate>false</LinksUpToDate>
  <CharactersWithSpaces>1481</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2023-08-03T17:12:00Z</dcterms:created>
  <dc:creator>波 杨</dc:creator>
  <cp:lastModifiedBy>！！</cp:lastModifiedBy>
  <cp:lastPrinted>2023-10-18T16:49:00Z</cp:lastPrinted>
  <dcterms:modified xsi:type="dcterms:W3CDTF">2024-09-13T00:36:44Z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CCF10717DDA44925928041A949C65078_13</vt:lpwstr>
  </property>
  <property fmtid="{D5CDD505-2E9C-101B-9397-08002B2CF9AE}" pid="3" name="KSOProductBuildVer">
    <vt:lpwstr>2052-12.1.0.16364</vt:lpwstr>
  </property>
</Properties>
</file>