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楷体_GB2312" w:eastAsia="楷体_GB2312"/>
          <w:b/>
          <w:bCs/>
          <w:sz w:val="48"/>
          <w:szCs w:val="48"/>
        </w:rPr>
      </w:pPr>
    </w:p>
    <w:p>
      <w:pPr>
        <w:spacing w:line="360" w:lineRule="auto"/>
        <w:jc w:val="center"/>
        <w:rPr>
          <w:rFonts w:ascii="宋体" w:hAnsi="宋体"/>
          <w:b/>
          <w:bCs/>
          <w:sz w:val="48"/>
          <w:szCs w:val="48"/>
        </w:rPr>
      </w:pPr>
      <w:bookmarkStart w:id="0" w:name="_Hlk523865958"/>
      <w:bookmarkStart w:id="1" w:name="_Hlk523863866"/>
      <w:r>
        <w:rPr>
          <w:rFonts w:hint="eastAsia" w:ascii="宋体" w:hAnsi="宋体"/>
          <w:b/>
          <w:bCs/>
          <w:sz w:val="48"/>
          <w:szCs w:val="48"/>
        </w:rPr>
        <w:t>中国邮政储蓄银行股份有限公司许昌市分行“许昌市分行2019年员工体检项目”</w:t>
      </w:r>
    </w:p>
    <w:bookmarkEnd w:id="0"/>
    <w:bookmarkEnd w:id="1"/>
    <w:p>
      <w:pPr>
        <w:spacing w:line="360" w:lineRule="auto"/>
        <w:rPr>
          <w:rFonts w:ascii="楷体_GB2312" w:eastAsia="楷体_GB2312"/>
          <w:b/>
          <w:bCs/>
          <w:sz w:val="48"/>
          <w:szCs w:val="48"/>
        </w:rPr>
      </w:pPr>
    </w:p>
    <w:p>
      <w:pPr>
        <w:spacing w:line="360" w:lineRule="auto"/>
        <w:rPr>
          <w:rFonts w:ascii="楷体_GB2312" w:eastAsia="楷体_GB2312"/>
          <w:b/>
          <w:bCs/>
          <w:sz w:val="48"/>
          <w:szCs w:val="48"/>
        </w:rPr>
      </w:pPr>
    </w:p>
    <w:p>
      <w:pPr>
        <w:spacing w:line="360" w:lineRule="auto"/>
        <w:jc w:val="center"/>
        <w:rPr>
          <w:rFonts w:ascii="宋体" w:hAnsi="宋体"/>
          <w:b/>
          <w:bCs/>
          <w:sz w:val="84"/>
          <w:szCs w:val="84"/>
        </w:rPr>
      </w:pPr>
      <w:r>
        <w:rPr>
          <w:rFonts w:hint="eastAsia" w:ascii="宋体" w:hAnsi="宋体"/>
          <w:b/>
          <w:bCs/>
          <w:sz w:val="84"/>
          <w:szCs w:val="84"/>
        </w:rPr>
        <w:t>招标文件</w:t>
      </w:r>
    </w:p>
    <w:p>
      <w:pPr>
        <w:spacing w:line="360" w:lineRule="auto"/>
        <w:jc w:val="center"/>
        <w:rPr>
          <w:rFonts w:ascii="宋体" w:hAnsi="宋体"/>
          <w:b/>
          <w:bCs/>
          <w:sz w:val="44"/>
          <w:szCs w:val="44"/>
        </w:rPr>
      </w:pPr>
      <w:r>
        <w:rPr>
          <w:rFonts w:hint="eastAsia" w:ascii="宋体" w:hAnsi="宋体"/>
          <w:b/>
          <w:sz w:val="36"/>
          <w:szCs w:val="36"/>
        </w:rPr>
        <w:t>项目编号：</w:t>
      </w:r>
      <w:r>
        <w:rPr>
          <w:rFonts w:hint="eastAsia" w:ascii="宋体" w:hAnsi="宋体"/>
          <w:b/>
          <w:bCs/>
          <w:sz w:val="36"/>
          <w:szCs w:val="36"/>
        </w:rPr>
        <w:t>2019-XCCG-07号</w:t>
      </w:r>
    </w:p>
    <w:p>
      <w:pPr>
        <w:spacing w:line="360" w:lineRule="auto"/>
        <w:rPr>
          <w:rFonts w:ascii="宋体" w:hAnsi="宋体"/>
          <w:b/>
          <w:bCs/>
          <w:sz w:val="44"/>
          <w:szCs w:val="44"/>
        </w:rPr>
      </w:pPr>
    </w:p>
    <w:p>
      <w:pPr>
        <w:spacing w:line="360" w:lineRule="auto"/>
        <w:rPr>
          <w:rFonts w:ascii="楷体_GB2312" w:hAnsi="宋体" w:eastAsia="楷体_GB2312"/>
          <w:b/>
          <w:sz w:val="28"/>
        </w:rPr>
      </w:pPr>
    </w:p>
    <w:p>
      <w:pPr>
        <w:spacing w:line="360" w:lineRule="auto"/>
        <w:jc w:val="center"/>
        <w:rPr>
          <w:rFonts w:ascii="楷体_GB2312" w:hAnsi="宋体" w:eastAsia="楷体_GB2312"/>
          <w:b/>
          <w:sz w:val="28"/>
        </w:rPr>
      </w:pPr>
      <w:r>
        <w:rPr>
          <w:rFonts w:ascii="楷体_GB2312" w:hAnsi="宋体" w:eastAsia="楷体_GB2312"/>
          <w:b/>
          <w:sz w:val="28"/>
        </w:rPr>
        <w:drawing>
          <wp:inline distT="0" distB="0" distL="0" distR="0">
            <wp:extent cx="1659255" cy="1125220"/>
            <wp:effectExtent l="19050" t="0" r="0" b="0"/>
            <wp:docPr id="1026" name="图片 2"/>
            <wp:cNvGraphicFramePr/>
            <a:graphic xmlns:a="http://schemas.openxmlformats.org/drawingml/2006/main">
              <a:graphicData uri="http://schemas.openxmlformats.org/drawingml/2006/picture">
                <pic:pic xmlns:pic="http://schemas.openxmlformats.org/drawingml/2006/picture">
                  <pic:nvPicPr>
                    <pic:cNvPr id="1026" name="图片 2"/>
                    <pic:cNvPicPr/>
                  </pic:nvPicPr>
                  <pic:blipFill>
                    <a:blip r:embed="rId6" cstate="print"/>
                    <a:srcRect/>
                    <a:stretch>
                      <a:fillRect/>
                    </a:stretch>
                  </pic:blipFill>
                  <pic:spPr>
                    <a:xfrm>
                      <a:off x="0" y="0"/>
                      <a:ext cx="1659889" cy="1125220"/>
                    </a:xfrm>
                    <a:prstGeom prst="rect">
                      <a:avLst/>
                    </a:prstGeom>
                    <a:ln>
                      <a:noFill/>
                    </a:ln>
                  </pic:spPr>
                </pic:pic>
              </a:graphicData>
            </a:graphic>
          </wp:inline>
        </w:drawing>
      </w:r>
    </w:p>
    <w:p>
      <w:pPr>
        <w:spacing w:line="360" w:lineRule="auto"/>
        <w:rPr>
          <w:rFonts w:ascii="楷体_GB2312" w:hAnsi="宋体" w:eastAsia="楷体_GB2312"/>
          <w:b/>
          <w:sz w:val="28"/>
        </w:rPr>
      </w:pPr>
    </w:p>
    <w:p>
      <w:pPr>
        <w:spacing w:line="360" w:lineRule="auto"/>
        <w:jc w:val="center"/>
        <w:rPr>
          <w:rFonts w:ascii="楷体_GB2312" w:hAnsi="宋体" w:eastAsia="楷体_GB2312"/>
          <w:b/>
          <w:sz w:val="28"/>
        </w:rPr>
      </w:pPr>
    </w:p>
    <w:p>
      <w:pPr>
        <w:spacing w:line="360" w:lineRule="auto"/>
        <w:jc w:val="center"/>
        <w:rPr>
          <w:rFonts w:ascii="楷体_GB2312" w:hAnsi="宋体" w:eastAsia="楷体_GB2312"/>
          <w:b/>
          <w:sz w:val="28"/>
        </w:rPr>
      </w:pPr>
    </w:p>
    <w:p>
      <w:pPr>
        <w:spacing w:line="360" w:lineRule="auto"/>
        <w:rPr>
          <w:rFonts w:ascii="楷体_GB2312" w:hAnsi="宋体" w:eastAsia="楷体_GB2312"/>
          <w:b/>
          <w:sz w:val="28"/>
        </w:rPr>
      </w:pPr>
    </w:p>
    <w:p>
      <w:pPr>
        <w:spacing w:line="360" w:lineRule="auto"/>
        <w:jc w:val="center"/>
        <w:rPr>
          <w:rFonts w:ascii="宋体" w:hAnsi="宋体"/>
          <w:b/>
          <w:sz w:val="36"/>
          <w:szCs w:val="36"/>
        </w:rPr>
      </w:pPr>
      <w:r>
        <w:rPr>
          <w:rFonts w:hint="eastAsia" w:ascii="宋体" w:hAnsi="宋体"/>
          <w:b/>
          <w:spacing w:val="20"/>
          <w:sz w:val="36"/>
          <w:szCs w:val="36"/>
        </w:rPr>
        <w:t>采购人</w:t>
      </w:r>
      <w:r>
        <w:rPr>
          <w:rFonts w:hint="eastAsia" w:ascii="宋体" w:hAnsi="宋体"/>
          <w:b/>
          <w:sz w:val="36"/>
          <w:szCs w:val="36"/>
        </w:rPr>
        <w:t>：中国邮政储蓄银行股份有限公司许昌市分行</w:t>
      </w:r>
    </w:p>
    <w:p>
      <w:pPr>
        <w:spacing w:line="360" w:lineRule="auto"/>
        <w:jc w:val="center"/>
        <w:rPr>
          <w:rFonts w:ascii="宋体" w:hAnsi="宋体"/>
          <w:b/>
          <w:sz w:val="36"/>
          <w:szCs w:val="36"/>
        </w:rPr>
      </w:pPr>
      <w:r>
        <w:rPr>
          <w:rFonts w:hint="eastAsia" w:ascii="宋体" w:hAnsi="宋体"/>
          <w:b/>
          <w:sz w:val="36"/>
          <w:szCs w:val="36"/>
        </w:rPr>
        <w:t>代理机构：河南省伟信招标管理咨询有限公司</w:t>
      </w:r>
    </w:p>
    <w:p>
      <w:pPr>
        <w:pStyle w:val="9"/>
        <w:spacing w:line="360" w:lineRule="auto"/>
        <w:ind w:left="108" w:leftChars="0" w:hanging="108" w:hangingChars="30"/>
        <w:jc w:val="center"/>
        <w:rPr>
          <w:rFonts w:ascii="宋体" w:hAnsi="宋体"/>
          <w:sz w:val="36"/>
          <w:szCs w:val="36"/>
        </w:rPr>
      </w:pPr>
      <w:r>
        <w:rPr>
          <w:rFonts w:hint="eastAsia" w:ascii="宋体" w:hAnsi="宋体"/>
          <w:sz w:val="36"/>
          <w:szCs w:val="36"/>
        </w:rPr>
        <w:t>二零一九年八月</w:t>
      </w:r>
    </w:p>
    <w:p>
      <w:pPr>
        <w:widowControl/>
        <w:jc w:val="left"/>
        <w:rPr>
          <w:rFonts w:ascii="宋体" w:hAnsi="宋体" w:cs="黑体"/>
          <w:b/>
          <w:bCs/>
          <w:sz w:val="44"/>
          <w:szCs w:val="44"/>
          <w:lang w:val="zh-CN"/>
        </w:rPr>
      </w:pPr>
    </w:p>
    <w:p>
      <w:pPr>
        <w:rPr>
          <w:rFonts w:hint="eastAsia" w:ascii="宋体" w:hAnsi="宋体" w:cs="黑体"/>
          <w:b/>
          <w:bCs/>
          <w:sz w:val="44"/>
          <w:szCs w:val="44"/>
          <w:lang w:val="zh-CN"/>
        </w:rPr>
      </w:pPr>
      <w:r>
        <w:rPr>
          <w:rFonts w:hint="eastAsia" w:ascii="宋体" w:hAnsi="宋体" w:cs="黑体"/>
          <w:b/>
          <w:bCs/>
          <w:sz w:val="44"/>
          <w:szCs w:val="44"/>
          <w:lang w:val="zh-CN"/>
        </w:rPr>
        <w:br w:type="page"/>
      </w:r>
    </w:p>
    <w:p>
      <w:pPr>
        <w:autoSpaceDE w:val="0"/>
        <w:autoSpaceDN w:val="0"/>
        <w:adjustRightInd w:val="0"/>
        <w:spacing w:line="700" w:lineRule="exact"/>
        <w:ind w:firstLine="551"/>
        <w:jc w:val="center"/>
        <w:rPr>
          <w:rFonts w:ascii="宋体" w:hAnsi="宋体" w:cs="黑体"/>
          <w:b/>
          <w:bCs/>
          <w:sz w:val="44"/>
          <w:szCs w:val="44"/>
          <w:lang w:val="zh-CN"/>
        </w:rPr>
      </w:pPr>
      <w:r>
        <w:rPr>
          <w:rFonts w:hint="eastAsia" w:ascii="宋体" w:hAnsi="宋体" w:cs="黑体"/>
          <w:b/>
          <w:bCs/>
          <w:sz w:val="44"/>
          <w:szCs w:val="44"/>
          <w:lang w:val="zh-CN"/>
        </w:rPr>
        <w:t>招标文件目录</w:t>
      </w:r>
    </w:p>
    <w:p>
      <w:pPr>
        <w:autoSpaceDE w:val="0"/>
        <w:autoSpaceDN w:val="0"/>
        <w:adjustRightInd w:val="0"/>
        <w:spacing w:line="700" w:lineRule="exact"/>
        <w:ind w:firstLine="551"/>
        <w:rPr>
          <w:rFonts w:ascii="宋体" w:hAnsi="宋体" w:eastAsia="宋体" w:cs="宋体"/>
          <w:b/>
          <w:bCs/>
          <w:sz w:val="32"/>
          <w:szCs w:val="32"/>
          <w:lang w:val="zh-CN"/>
        </w:rPr>
      </w:pPr>
    </w:p>
    <w:p>
      <w:pPr>
        <w:autoSpaceDE w:val="0"/>
        <w:autoSpaceDN w:val="0"/>
        <w:adjustRightInd w:val="0"/>
        <w:spacing w:line="600" w:lineRule="auto"/>
        <w:ind w:firstLine="551"/>
        <w:rPr>
          <w:rFonts w:ascii="宋体" w:hAnsi="宋体" w:eastAsia="宋体" w:cs="宋体"/>
          <w:b/>
          <w:bCs/>
          <w:sz w:val="32"/>
          <w:szCs w:val="32"/>
          <w:lang w:val="zh-CN"/>
        </w:rPr>
      </w:pPr>
      <w:r>
        <w:rPr>
          <w:rFonts w:hint="eastAsia" w:ascii="宋体" w:hAnsi="宋体" w:eastAsia="宋体" w:cs="宋体"/>
          <w:b/>
          <w:bCs/>
          <w:sz w:val="32"/>
          <w:szCs w:val="32"/>
          <w:lang w:val="zh-CN"/>
        </w:rPr>
        <w:t>第一章 招标公告</w:t>
      </w:r>
    </w:p>
    <w:p>
      <w:pPr>
        <w:autoSpaceDE w:val="0"/>
        <w:autoSpaceDN w:val="0"/>
        <w:adjustRightInd w:val="0"/>
        <w:spacing w:line="600" w:lineRule="auto"/>
        <w:ind w:firstLine="551"/>
        <w:rPr>
          <w:rFonts w:ascii="宋体" w:hAnsi="宋体" w:eastAsia="宋体" w:cs="宋体"/>
          <w:b/>
          <w:bCs/>
          <w:sz w:val="32"/>
          <w:szCs w:val="32"/>
          <w:lang w:val="zh-CN"/>
        </w:rPr>
      </w:pPr>
      <w:r>
        <w:rPr>
          <w:rFonts w:hint="eastAsia" w:ascii="宋体" w:hAnsi="宋体" w:eastAsia="宋体" w:cs="宋体"/>
          <w:b/>
          <w:bCs/>
          <w:sz w:val="32"/>
          <w:szCs w:val="32"/>
          <w:lang w:val="zh-CN"/>
        </w:rPr>
        <w:t>第二章 项目需求</w:t>
      </w:r>
    </w:p>
    <w:p>
      <w:pPr>
        <w:autoSpaceDE w:val="0"/>
        <w:autoSpaceDN w:val="0"/>
        <w:adjustRightInd w:val="0"/>
        <w:spacing w:line="600" w:lineRule="auto"/>
        <w:ind w:firstLine="560"/>
        <w:rPr>
          <w:rFonts w:ascii="宋体" w:hAnsi="宋体" w:eastAsia="宋体" w:cs="宋体"/>
          <w:b/>
          <w:kern w:val="0"/>
          <w:sz w:val="32"/>
          <w:szCs w:val="32"/>
        </w:rPr>
      </w:pPr>
      <w:r>
        <w:rPr>
          <w:rFonts w:hint="eastAsia" w:ascii="宋体" w:hAnsi="宋体" w:eastAsia="宋体" w:cs="宋体"/>
          <w:b/>
          <w:bCs/>
          <w:sz w:val="32"/>
          <w:szCs w:val="32"/>
          <w:lang w:val="zh-CN"/>
        </w:rPr>
        <w:t xml:space="preserve">第三章 </w:t>
      </w:r>
      <w:r>
        <w:rPr>
          <w:rFonts w:hint="eastAsia" w:ascii="宋体" w:hAnsi="宋体" w:eastAsia="宋体" w:cs="宋体"/>
          <w:b/>
          <w:kern w:val="0"/>
          <w:sz w:val="32"/>
          <w:szCs w:val="32"/>
        </w:rPr>
        <w:t>供应商须知前附表</w:t>
      </w:r>
    </w:p>
    <w:p>
      <w:pPr>
        <w:autoSpaceDE w:val="0"/>
        <w:autoSpaceDN w:val="0"/>
        <w:adjustRightInd w:val="0"/>
        <w:spacing w:line="600" w:lineRule="auto"/>
        <w:ind w:firstLine="560"/>
        <w:rPr>
          <w:rFonts w:ascii="宋体" w:hAnsi="宋体" w:eastAsia="宋体" w:cs="宋体"/>
          <w:b/>
          <w:kern w:val="0"/>
          <w:sz w:val="32"/>
          <w:szCs w:val="32"/>
        </w:rPr>
      </w:pPr>
      <w:r>
        <w:rPr>
          <w:rFonts w:hint="eastAsia" w:ascii="宋体" w:hAnsi="宋体" w:eastAsia="宋体" w:cs="宋体"/>
          <w:b/>
          <w:bCs/>
          <w:sz w:val="32"/>
          <w:szCs w:val="32"/>
          <w:lang w:val="zh-CN"/>
        </w:rPr>
        <w:t xml:space="preserve">第四章 </w:t>
      </w:r>
      <w:r>
        <w:rPr>
          <w:rFonts w:hint="eastAsia" w:ascii="宋体" w:hAnsi="宋体" w:eastAsia="宋体" w:cs="宋体"/>
          <w:b/>
          <w:kern w:val="0"/>
          <w:sz w:val="32"/>
          <w:szCs w:val="32"/>
        </w:rPr>
        <w:t>供应商须知</w:t>
      </w:r>
    </w:p>
    <w:p>
      <w:pPr>
        <w:autoSpaceDE w:val="0"/>
        <w:autoSpaceDN w:val="0"/>
        <w:adjustRightInd w:val="0"/>
        <w:spacing w:line="600" w:lineRule="auto"/>
        <w:ind w:firstLine="551"/>
        <w:rPr>
          <w:rFonts w:ascii="宋体" w:hAnsi="宋体" w:eastAsia="宋体" w:cs="宋体"/>
          <w:b/>
          <w:bCs/>
          <w:sz w:val="32"/>
          <w:szCs w:val="32"/>
          <w:lang w:val="zh-CN"/>
        </w:rPr>
      </w:pPr>
      <w:r>
        <w:rPr>
          <w:rFonts w:hint="eastAsia" w:ascii="宋体" w:hAnsi="宋体" w:eastAsia="宋体" w:cs="宋体"/>
          <w:b/>
          <w:bCs/>
          <w:sz w:val="32"/>
          <w:szCs w:val="32"/>
          <w:lang w:val="zh-CN"/>
        </w:rPr>
        <w:t xml:space="preserve">第五章 </w:t>
      </w:r>
      <w:r>
        <w:rPr>
          <w:rFonts w:hint="eastAsia" w:ascii="宋体" w:hAnsi="宋体" w:eastAsia="宋体" w:cs="宋体"/>
          <w:b/>
          <w:kern w:val="0"/>
          <w:sz w:val="32"/>
          <w:szCs w:val="32"/>
        </w:rPr>
        <w:t>资格审查与评标</w:t>
      </w:r>
    </w:p>
    <w:p>
      <w:pPr>
        <w:autoSpaceDE w:val="0"/>
        <w:autoSpaceDN w:val="0"/>
        <w:adjustRightInd w:val="0"/>
        <w:spacing w:line="600" w:lineRule="auto"/>
        <w:ind w:firstLine="551"/>
        <w:outlineLvl w:val="0"/>
        <w:rPr>
          <w:rFonts w:ascii="宋体" w:hAnsi="宋体" w:eastAsia="宋体" w:cs="宋体"/>
          <w:b/>
          <w:bCs/>
          <w:sz w:val="32"/>
          <w:szCs w:val="32"/>
          <w:lang w:val="zh-CN"/>
        </w:rPr>
      </w:pPr>
      <w:r>
        <w:rPr>
          <w:rFonts w:hint="eastAsia" w:ascii="宋体" w:hAnsi="宋体" w:eastAsia="宋体" w:cs="宋体"/>
          <w:b/>
          <w:bCs/>
          <w:sz w:val="32"/>
          <w:szCs w:val="32"/>
          <w:lang w:val="zh-CN"/>
        </w:rPr>
        <w:t xml:space="preserve">第六章 </w:t>
      </w:r>
      <w:r>
        <w:rPr>
          <w:rFonts w:hint="eastAsia" w:ascii="宋体" w:hAnsi="宋体" w:eastAsia="宋体" w:cs="宋体"/>
          <w:b/>
          <w:kern w:val="0"/>
          <w:sz w:val="32"/>
          <w:szCs w:val="32"/>
        </w:rPr>
        <w:t>合同条款及格式</w:t>
      </w:r>
    </w:p>
    <w:p>
      <w:pPr>
        <w:autoSpaceDE w:val="0"/>
        <w:autoSpaceDN w:val="0"/>
        <w:adjustRightInd w:val="0"/>
        <w:spacing w:line="600" w:lineRule="auto"/>
        <w:ind w:firstLine="551"/>
        <w:rPr>
          <w:rFonts w:ascii="宋体" w:hAnsi="宋体" w:eastAsia="宋体" w:cs="宋体"/>
          <w:b/>
          <w:kern w:val="0"/>
          <w:sz w:val="32"/>
          <w:szCs w:val="32"/>
        </w:rPr>
      </w:pPr>
      <w:r>
        <w:rPr>
          <w:rFonts w:hint="eastAsia" w:ascii="宋体" w:hAnsi="宋体" w:eastAsia="宋体" w:cs="宋体"/>
          <w:b/>
          <w:bCs/>
          <w:sz w:val="32"/>
          <w:szCs w:val="32"/>
          <w:lang w:val="zh-CN"/>
        </w:rPr>
        <w:t xml:space="preserve">第七章 </w:t>
      </w:r>
      <w:r>
        <w:rPr>
          <w:rFonts w:hint="eastAsia" w:ascii="宋体" w:hAnsi="宋体" w:eastAsia="宋体" w:cs="宋体"/>
          <w:b/>
          <w:kern w:val="0"/>
          <w:sz w:val="32"/>
          <w:szCs w:val="32"/>
        </w:rPr>
        <w:t>投标文件有关格式</w:t>
      </w:r>
    </w:p>
    <w:p>
      <w:pPr>
        <w:autoSpaceDE w:val="0"/>
        <w:autoSpaceDN w:val="0"/>
        <w:adjustRightInd w:val="0"/>
        <w:spacing w:line="720" w:lineRule="auto"/>
        <w:ind w:firstLine="551"/>
        <w:outlineLvl w:val="0"/>
        <w:rPr>
          <w:rFonts w:ascii="宋体" w:hAnsi="宋体" w:eastAsia="宋体" w:cs="宋体"/>
          <w:b/>
          <w:kern w:val="0"/>
          <w:sz w:val="32"/>
          <w:szCs w:val="32"/>
        </w:rPr>
      </w:pPr>
    </w:p>
    <w:p>
      <w:pPr>
        <w:widowControl/>
        <w:jc w:val="left"/>
        <w:rPr>
          <w:rFonts w:ascii="黑体" w:eastAsia="黑体" w:cs="黑体"/>
          <w:b/>
          <w:bCs/>
          <w:sz w:val="28"/>
          <w:szCs w:val="28"/>
          <w:lang w:val="zh-CN"/>
        </w:rPr>
      </w:pPr>
      <w:r>
        <w:rPr>
          <w:rFonts w:ascii="黑体" w:eastAsia="黑体" w:cs="黑体"/>
          <w:b/>
          <w:bCs/>
          <w:sz w:val="28"/>
          <w:szCs w:val="28"/>
          <w:lang w:val="zh-CN"/>
        </w:rPr>
        <w:br w:type="page"/>
      </w:r>
    </w:p>
    <w:p>
      <w:pPr>
        <w:pStyle w:val="16"/>
        <w:widowControl/>
        <w:shd w:val="clear" w:color="auto" w:fill="FFFFFF"/>
        <w:spacing w:line="315" w:lineRule="atLeast"/>
        <w:ind w:firstLine="440"/>
        <w:jc w:val="center"/>
        <w:rPr>
          <w:rFonts w:ascii="微软雅黑" w:hAnsi="微软雅黑" w:eastAsia="微软雅黑" w:cs="宋体"/>
          <w:b/>
          <w:bCs/>
          <w:color w:val="444444"/>
          <w:kern w:val="36"/>
          <w:sz w:val="32"/>
          <w:szCs w:val="38"/>
        </w:rPr>
      </w:pPr>
      <w:bookmarkStart w:id="2" w:name="_Toc457392788"/>
      <w:r>
        <w:rPr>
          <w:rFonts w:hint="eastAsia" w:ascii="宋体" w:hAnsi="宋体" w:cs="宋体"/>
          <w:b/>
          <w:sz w:val="36"/>
          <w:szCs w:val="36"/>
          <w:shd w:val="clear" w:color="auto" w:fill="FFFFFF"/>
        </w:rPr>
        <w:t>第一章 招标公告</w:t>
      </w:r>
    </w:p>
    <w:p>
      <w:pPr>
        <w:widowControl/>
        <w:jc w:val="center"/>
        <w:outlineLvl w:val="0"/>
        <w:rPr>
          <w:rFonts w:ascii="微软雅黑" w:hAnsi="微软雅黑" w:eastAsia="微软雅黑" w:cs="宋体"/>
          <w:b/>
          <w:bCs/>
          <w:color w:val="444444"/>
          <w:kern w:val="36"/>
          <w:sz w:val="28"/>
          <w:szCs w:val="38"/>
        </w:rPr>
      </w:pPr>
    </w:p>
    <w:p>
      <w:pPr>
        <w:widowControl/>
        <w:jc w:val="center"/>
        <w:outlineLvl w:val="0"/>
        <w:rPr>
          <w:rFonts w:ascii="微软雅黑" w:hAnsi="微软雅黑" w:eastAsia="微软雅黑" w:cs="宋体"/>
          <w:b/>
          <w:bCs/>
          <w:color w:val="444444"/>
          <w:kern w:val="36"/>
          <w:sz w:val="28"/>
          <w:szCs w:val="38"/>
        </w:rPr>
      </w:pPr>
      <w:r>
        <w:rPr>
          <w:rFonts w:hint="eastAsia" w:ascii="微软雅黑" w:hAnsi="微软雅黑" w:eastAsia="微软雅黑" w:cs="宋体"/>
          <w:b/>
          <w:bCs/>
          <w:color w:val="444444"/>
          <w:kern w:val="36"/>
          <w:sz w:val="28"/>
          <w:szCs w:val="38"/>
        </w:rPr>
        <w:t>中国邮政储蓄银行股份有限公司许昌市分行</w:t>
      </w:r>
    </w:p>
    <w:p>
      <w:pPr>
        <w:widowControl/>
        <w:jc w:val="center"/>
        <w:outlineLvl w:val="0"/>
        <w:rPr>
          <w:rFonts w:ascii="微软雅黑" w:hAnsi="微软雅黑" w:eastAsia="微软雅黑" w:cs="宋体"/>
          <w:b/>
          <w:bCs/>
          <w:color w:val="444444"/>
          <w:kern w:val="36"/>
          <w:sz w:val="28"/>
          <w:szCs w:val="38"/>
        </w:rPr>
      </w:pPr>
      <w:r>
        <w:rPr>
          <w:rFonts w:hint="eastAsia" w:ascii="微软雅黑" w:hAnsi="微软雅黑" w:eastAsia="微软雅黑" w:cs="宋体"/>
          <w:b/>
          <w:bCs/>
          <w:color w:val="444444"/>
          <w:kern w:val="36"/>
          <w:sz w:val="28"/>
          <w:szCs w:val="38"/>
        </w:rPr>
        <w:t>“许昌市分行2019年员工体检项目”</w:t>
      </w:r>
    </w:p>
    <w:p>
      <w:pPr>
        <w:widowControl/>
        <w:jc w:val="center"/>
        <w:outlineLvl w:val="0"/>
        <w:rPr>
          <w:rFonts w:ascii="微软雅黑" w:hAnsi="微软雅黑" w:eastAsia="微软雅黑" w:cs="宋体"/>
          <w:b/>
          <w:bCs/>
          <w:color w:val="444444"/>
          <w:kern w:val="36"/>
          <w:sz w:val="28"/>
          <w:szCs w:val="38"/>
        </w:rPr>
      </w:pPr>
      <w:r>
        <w:rPr>
          <w:rFonts w:hint="eastAsia" w:ascii="微软雅黑" w:hAnsi="微软雅黑" w:eastAsia="微软雅黑" w:cs="宋体"/>
          <w:b/>
          <w:bCs/>
          <w:color w:val="444444"/>
          <w:kern w:val="36"/>
          <w:sz w:val="28"/>
          <w:szCs w:val="38"/>
        </w:rPr>
        <w:t>招标公告</w:t>
      </w:r>
    </w:p>
    <w:p>
      <w:pPr>
        <w:spacing w:line="360" w:lineRule="auto"/>
        <w:rPr>
          <w:rFonts w:ascii="宋体" w:hAnsi="宋体" w:cs="宋体"/>
          <w:sz w:val="24"/>
          <w:szCs w:val="24"/>
        </w:rPr>
      </w:pPr>
      <w:r>
        <w:rPr>
          <w:rFonts w:hint="eastAsia" w:ascii="宋体" w:hAnsi="宋体" w:cs="宋体"/>
          <w:sz w:val="24"/>
          <w:szCs w:val="24"/>
        </w:rPr>
        <w:t>一、项目名称及编号</w:t>
      </w:r>
    </w:p>
    <w:p>
      <w:pPr>
        <w:spacing w:line="360" w:lineRule="auto"/>
        <w:ind w:firstLine="480" w:firstLineChars="200"/>
        <w:rPr>
          <w:rFonts w:ascii="宋体" w:hAnsi="宋体" w:cs="宋体"/>
          <w:sz w:val="24"/>
          <w:szCs w:val="24"/>
        </w:rPr>
      </w:pPr>
      <w:r>
        <w:rPr>
          <w:rFonts w:hint="eastAsia" w:ascii="宋体" w:hAnsi="宋体" w:cs="宋体"/>
          <w:sz w:val="24"/>
          <w:szCs w:val="24"/>
        </w:rPr>
        <w:t>1.1项目名称：许昌市分行2019年员工体检项目</w:t>
      </w:r>
    </w:p>
    <w:p>
      <w:pPr>
        <w:spacing w:line="360" w:lineRule="auto"/>
        <w:ind w:firstLine="480" w:firstLineChars="200"/>
        <w:rPr>
          <w:rFonts w:ascii="宋体" w:hAnsi="宋体" w:cs="宋体"/>
          <w:sz w:val="24"/>
          <w:szCs w:val="24"/>
        </w:rPr>
      </w:pPr>
      <w:r>
        <w:rPr>
          <w:rFonts w:hint="eastAsia" w:ascii="宋体" w:hAnsi="宋体" w:cs="宋体"/>
          <w:sz w:val="24"/>
          <w:szCs w:val="24"/>
        </w:rPr>
        <w:t>1.2项目编号：2019-XCCG-07号</w:t>
      </w:r>
    </w:p>
    <w:p>
      <w:pPr>
        <w:spacing w:line="360" w:lineRule="auto"/>
        <w:ind w:firstLine="480" w:firstLineChars="200"/>
        <w:rPr>
          <w:rFonts w:ascii="宋体" w:hAnsi="宋体" w:cs="宋体"/>
          <w:sz w:val="24"/>
          <w:szCs w:val="24"/>
        </w:rPr>
      </w:pPr>
      <w:r>
        <w:rPr>
          <w:rFonts w:hint="eastAsia" w:ascii="宋体" w:hAnsi="宋体" w:cs="宋体"/>
          <w:sz w:val="24"/>
          <w:szCs w:val="24"/>
        </w:rPr>
        <w:t>1.3采购方式：公开招标</w:t>
      </w:r>
    </w:p>
    <w:p>
      <w:pPr>
        <w:spacing w:line="360" w:lineRule="auto"/>
        <w:ind w:firstLine="480" w:firstLineChars="200"/>
        <w:rPr>
          <w:rFonts w:ascii="宋体" w:hAnsi="宋体" w:cs="宋体"/>
          <w:sz w:val="24"/>
          <w:szCs w:val="24"/>
        </w:rPr>
      </w:pPr>
      <w:r>
        <w:rPr>
          <w:rFonts w:hint="eastAsia" w:ascii="宋体" w:hAnsi="宋体" w:cs="宋体"/>
          <w:sz w:val="24"/>
          <w:szCs w:val="24"/>
        </w:rPr>
        <w:t>1.4项目主要内容：提供许昌市分行495名员工2019年体检服务，具体体检内容详见招标文件中采购需求附件。</w:t>
      </w:r>
    </w:p>
    <w:p>
      <w:pPr>
        <w:spacing w:line="360" w:lineRule="auto"/>
        <w:ind w:firstLine="480" w:firstLineChars="200"/>
        <w:rPr>
          <w:rFonts w:ascii="宋体" w:hAnsi="宋体" w:cs="宋体"/>
          <w:sz w:val="24"/>
          <w:szCs w:val="24"/>
        </w:rPr>
      </w:pPr>
      <w:r>
        <w:rPr>
          <w:rFonts w:hint="eastAsia" w:ascii="宋体" w:hAnsi="宋体" w:cs="宋体"/>
          <w:sz w:val="24"/>
          <w:szCs w:val="24"/>
        </w:rPr>
        <w:t>1.5预算金额：49.4505万元，最高限价：49.4505万元 。</w:t>
      </w:r>
    </w:p>
    <w:p>
      <w:pPr>
        <w:spacing w:line="360" w:lineRule="auto"/>
        <w:ind w:firstLine="480" w:firstLineChars="200"/>
        <w:rPr>
          <w:rFonts w:ascii="宋体" w:hAnsi="宋体" w:cs="宋体"/>
          <w:sz w:val="24"/>
          <w:szCs w:val="24"/>
        </w:rPr>
      </w:pPr>
      <w:r>
        <w:rPr>
          <w:rFonts w:hint="eastAsia" w:ascii="宋体" w:hAnsi="宋体" w:cs="宋体"/>
          <w:sz w:val="24"/>
          <w:szCs w:val="24"/>
        </w:rPr>
        <w:t>1.6服务时间：签订合同后90日历天。</w:t>
      </w:r>
    </w:p>
    <w:p>
      <w:pPr>
        <w:spacing w:line="360" w:lineRule="auto"/>
        <w:ind w:firstLine="480" w:firstLineChars="200"/>
        <w:rPr>
          <w:rFonts w:ascii="宋体" w:hAnsi="宋体" w:cs="宋体"/>
          <w:sz w:val="24"/>
          <w:szCs w:val="24"/>
        </w:rPr>
      </w:pPr>
      <w:r>
        <w:rPr>
          <w:rFonts w:hint="eastAsia" w:ascii="宋体" w:hAnsi="宋体" w:cs="宋体"/>
          <w:sz w:val="24"/>
          <w:szCs w:val="24"/>
        </w:rPr>
        <w:t>1.8服务地点：成交供应商体检项目所在地</w:t>
      </w:r>
    </w:p>
    <w:p>
      <w:pPr>
        <w:spacing w:line="360" w:lineRule="auto"/>
        <w:ind w:firstLine="480" w:firstLineChars="200"/>
        <w:rPr>
          <w:rFonts w:ascii="宋体" w:hAnsi="宋体" w:cs="宋体"/>
          <w:sz w:val="24"/>
          <w:szCs w:val="24"/>
        </w:rPr>
      </w:pPr>
      <w:r>
        <w:rPr>
          <w:rFonts w:hint="eastAsia" w:ascii="宋体" w:hAnsi="宋体" w:cs="宋体"/>
          <w:sz w:val="24"/>
          <w:szCs w:val="24"/>
        </w:rPr>
        <w:t>1.9分包：不允许</w:t>
      </w:r>
    </w:p>
    <w:p>
      <w:pPr>
        <w:spacing w:line="360" w:lineRule="auto"/>
        <w:ind w:firstLine="480" w:firstLineChars="200"/>
        <w:rPr>
          <w:rFonts w:ascii="宋体" w:hAnsi="宋体" w:cs="宋体"/>
          <w:sz w:val="24"/>
          <w:szCs w:val="24"/>
        </w:rPr>
      </w:pPr>
      <w:r>
        <w:rPr>
          <w:rFonts w:hint="eastAsia" w:ascii="宋体" w:hAnsi="宋体" w:cs="宋体"/>
          <w:sz w:val="24"/>
          <w:szCs w:val="24"/>
        </w:rPr>
        <w:t>二、响应供应商资格要求</w:t>
      </w:r>
    </w:p>
    <w:p>
      <w:pPr>
        <w:spacing w:line="360" w:lineRule="auto"/>
        <w:ind w:firstLine="480" w:firstLineChars="200"/>
        <w:rPr>
          <w:rFonts w:ascii="宋体" w:hAnsi="宋体" w:cs="宋体"/>
          <w:sz w:val="24"/>
          <w:szCs w:val="24"/>
        </w:rPr>
      </w:pPr>
      <w:r>
        <w:rPr>
          <w:rFonts w:hint="eastAsia" w:ascii="宋体" w:hAnsi="宋体" w:cs="宋体"/>
          <w:sz w:val="24"/>
          <w:szCs w:val="24"/>
        </w:rPr>
        <w:t>1、供应商必须是在中华人民共和国境内法律上和财务上独立的法人或依法登记注册的组织，有能力为本项目提供服务的单位；</w:t>
      </w:r>
    </w:p>
    <w:p>
      <w:pPr>
        <w:spacing w:line="360" w:lineRule="auto"/>
        <w:ind w:firstLine="480" w:firstLineChars="200"/>
        <w:rPr>
          <w:rFonts w:ascii="宋体" w:hAnsi="宋体" w:cs="宋体"/>
          <w:sz w:val="24"/>
          <w:szCs w:val="24"/>
        </w:rPr>
      </w:pPr>
      <w:r>
        <w:rPr>
          <w:rFonts w:hint="eastAsia" w:ascii="宋体" w:hAnsi="宋体" w:cs="宋体"/>
          <w:sz w:val="24"/>
          <w:szCs w:val="24"/>
        </w:rPr>
        <w:t>2、供应商具有卫生部门批准的医疗卫生资质；</w:t>
      </w:r>
    </w:p>
    <w:p>
      <w:pPr>
        <w:spacing w:line="360" w:lineRule="auto"/>
        <w:ind w:firstLine="480" w:firstLineChars="200"/>
        <w:rPr>
          <w:rFonts w:ascii="宋体" w:hAnsi="宋体" w:cs="宋体"/>
          <w:sz w:val="24"/>
          <w:szCs w:val="24"/>
        </w:rPr>
      </w:pPr>
      <w:r>
        <w:rPr>
          <w:rFonts w:hint="eastAsia" w:ascii="宋体" w:hAnsi="宋体" w:cs="宋体"/>
          <w:sz w:val="24"/>
          <w:szCs w:val="24"/>
        </w:rPr>
        <w:t>3、未被列入“信用中国”网站(www.creditchina.gov.cn)失信被执行人、重大税收违法案件当事人名单、政府采购严重违法失信名单的供应商；“国家企业信用公示系统”网站（www.gsxt.gov.cn）严重违法失信企业名单（黑名单）的供应商；</w:t>
      </w:r>
    </w:p>
    <w:p>
      <w:pPr>
        <w:spacing w:line="360" w:lineRule="auto"/>
        <w:ind w:firstLine="480" w:firstLineChars="200"/>
        <w:rPr>
          <w:rFonts w:ascii="宋体" w:hAnsi="宋体" w:cs="宋体"/>
          <w:sz w:val="24"/>
          <w:szCs w:val="24"/>
        </w:rPr>
      </w:pPr>
      <w:r>
        <w:rPr>
          <w:rFonts w:hint="eastAsia" w:ascii="宋体" w:hAnsi="宋体" w:cs="宋体"/>
          <w:sz w:val="24"/>
          <w:szCs w:val="24"/>
        </w:rPr>
        <w:t>4、本项目不接受联合体投标。</w:t>
      </w:r>
    </w:p>
    <w:p>
      <w:pPr>
        <w:spacing w:line="360" w:lineRule="auto"/>
        <w:ind w:firstLine="480" w:firstLineChars="200"/>
        <w:rPr>
          <w:rFonts w:ascii="宋体" w:hAnsi="宋体" w:cs="宋体"/>
          <w:sz w:val="24"/>
          <w:szCs w:val="24"/>
        </w:rPr>
      </w:pPr>
      <w:r>
        <w:rPr>
          <w:rFonts w:hint="eastAsia" w:ascii="宋体" w:hAnsi="宋体" w:cs="宋体"/>
          <w:sz w:val="24"/>
          <w:szCs w:val="24"/>
        </w:rPr>
        <w:t>四、招标文件的获取(没有登记领取招标文件的供应商，其投标文件将被拒绝)</w:t>
      </w:r>
    </w:p>
    <w:p>
      <w:pPr>
        <w:spacing w:line="360" w:lineRule="auto"/>
        <w:ind w:firstLine="480" w:firstLineChars="200"/>
        <w:rPr>
          <w:rFonts w:ascii="宋体" w:hAnsi="宋体" w:cs="宋体"/>
          <w:sz w:val="24"/>
          <w:szCs w:val="24"/>
        </w:rPr>
      </w:pPr>
      <w:r>
        <w:rPr>
          <w:rFonts w:hint="eastAsia" w:ascii="宋体" w:hAnsi="宋体" w:cs="宋体"/>
          <w:sz w:val="24"/>
          <w:szCs w:val="24"/>
        </w:rPr>
        <w:t>（一）获取时间：2019年8月2 日至2019年8月8日，每日上午9:00-11:30，下午13:30-17:00 （节假日除外）。</w:t>
      </w:r>
    </w:p>
    <w:p>
      <w:pPr>
        <w:spacing w:line="360" w:lineRule="auto"/>
        <w:ind w:firstLine="480" w:firstLineChars="200"/>
        <w:rPr>
          <w:rFonts w:ascii="宋体" w:hAnsi="宋体" w:cs="宋体"/>
          <w:sz w:val="24"/>
          <w:szCs w:val="24"/>
        </w:rPr>
      </w:pPr>
      <w:r>
        <w:rPr>
          <w:rFonts w:hint="eastAsia" w:ascii="宋体" w:hAnsi="宋体" w:cs="宋体"/>
          <w:sz w:val="24"/>
          <w:szCs w:val="24"/>
        </w:rPr>
        <w:t>（二）获取地点：许昌市学院路恒大绿洲紫薇公寓1818室。</w:t>
      </w:r>
    </w:p>
    <w:p>
      <w:pPr>
        <w:spacing w:line="360" w:lineRule="auto"/>
        <w:ind w:firstLine="480" w:firstLineChars="200"/>
        <w:rPr>
          <w:rFonts w:ascii="宋体" w:hAnsi="宋体" w:cs="宋体"/>
          <w:sz w:val="24"/>
          <w:szCs w:val="24"/>
        </w:rPr>
      </w:pPr>
      <w:r>
        <w:rPr>
          <w:rFonts w:hint="eastAsia" w:ascii="宋体" w:hAnsi="宋体" w:cs="宋体"/>
          <w:sz w:val="24"/>
          <w:szCs w:val="24"/>
        </w:rPr>
        <w:t>（三）招标文件售价：300元/套，售后不退。</w:t>
      </w:r>
    </w:p>
    <w:p>
      <w:pPr>
        <w:spacing w:line="360" w:lineRule="auto"/>
        <w:ind w:firstLine="480" w:firstLineChars="200"/>
        <w:rPr>
          <w:rFonts w:ascii="宋体" w:hAnsi="宋体" w:cs="宋体"/>
          <w:sz w:val="24"/>
          <w:szCs w:val="24"/>
        </w:rPr>
      </w:pPr>
      <w:r>
        <w:rPr>
          <w:rFonts w:hint="eastAsia" w:ascii="宋体" w:hAnsi="宋体" w:cs="宋体"/>
          <w:sz w:val="24"/>
          <w:szCs w:val="24"/>
        </w:rPr>
        <w:t>注意事项：本项目采购文件不采用邮购方式购买，购买采购文件时需提交的资料：营业执照、法人代表授权委托书、委托人身份证，以上资料均须提供加盖公章复印件一份（A4纸）。</w:t>
      </w:r>
    </w:p>
    <w:p>
      <w:pPr>
        <w:spacing w:line="360" w:lineRule="auto"/>
        <w:ind w:firstLine="480" w:firstLineChars="200"/>
        <w:rPr>
          <w:rFonts w:ascii="宋体" w:hAnsi="宋体" w:cs="宋体"/>
          <w:sz w:val="24"/>
          <w:szCs w:val="24"/>
        </w:rPr>
      </w:pPr>
      <w:r>
        <w:rPr>
          <w:rFonts w:hint="eastAsia" w:ascii="宋体" w:hAnsi="宋体" w:cs="宋体"/>
          <w:sz w:val="24"/>
          <w:szCs w:val="24"/>
        </w:rPr>
        <w:t>五、投标文件接收截止及开标时间和地点</w:t>
      </w:r>
    </w:p>
    <w:p>
      <w:pPr>
        <w:spacing w:line="360" w:lineRule="auto"/>
        <w:ind w:firstLine="480" w:firstLineChars="200"/>
        <w:rPr>
          <w:rFonts w:ascii="宋体" w:hAnsi="宋体" w:cs="宋体"/>
          <w:sz w:val="24"/>
          <w:szCs w:val="24"/>
        </w:rPr>
      </w:pPr>
      <w:r>
        <w:rPr>
          <w:rFonts w:hint="eastAsia" w:ascii="宋体" w:hAnsi="宋体" w:cs="宋体"/>
          <w:sz w:val="24"/>
          <w:szCs w:val="24"/>
        </w:rPr>
        <w:t>（一）投标文件递交截止及开标时间：2019年8月28日9时30分（北京时间），逾期提交或不符合规定的响应文件不予接受。</w:t>
      </w:r>
    </w:p>
    <w:p>
      <w:pPr>
        <w:spacing w:line="360" w:lineRule="auto"/>
        <w:ind w:firstLine="480" w:firstLineChars="200"/>
        <w:rPr>
          <w:rFonts w:ascii="宋体" w:hAnsi="宋体" w:cs="宋体"/>
          <w:sz w:val="24"/>
          <w:szCs w:val="24"/>
        </w:rPr>
      </w:pPr>
      <w:r>
        <w:rPr>
          <w:rFonts w:hint="eastAsia" w:ascii="宋体" w:hAnsi="宋体" w:cs="宋体"/>
          <w:sz w:val="24"/>
          <w:szCs w:val="24"/>
        </w:rPr>
        <w:t>（二）开标地点：许昌市许由路与文峰路取直段交叉口西北角建设银行7楼会议室）。</w:t>
      </w:r>
    </w:p>
    <w:p>
      <w:pPr>
        <w:spacing w:line="360" w:lineRule="auto"/>
        <w:ind w:firstLine="480" w:firstLineChars="200"/>
        <w:rPr>
          <w:rFonts w:ascii="宋体" w:hAnsi="宋体" w:cs="宋体"/>
          <w:sz w:val="24"/>
          <w:szCs w:val="24"/>
        </w:rPr>
      </w:pPr>
      <w:r>
        <w:rPr>
          <w:rFonts w:hint="eastAsia" w:ascii="宋体" w:hAnsi="宋体" w:cs="宋体"/>
          <w:sz w:val="24"/>
          <w:szCs w:val="24"/>
        </w:rPr>
        <w:t>六、本次招标公告同时在《中国邮政集团官网》、《中国采购与招标网》、《河南招标采购综合网》发布。</w:t>
      </w:r>
    </w:p>
    <w:p>
      <w:pPr>
        <w:spacing w:line="360" w:lineRule="auto"/>
        <w:ind w:firstLine="480" w:firstLineChars="200"/>
        <w:rPr>
          <w:rFonts w:ascii="宋体" w:hAnsi="宋体" w:cs="宋体"/>
          <w:sz w:val="24"/>
          <w:szCs w:val="24"/>
        </w:rPr>
      </w:pPr>
      <w:r>
        <w:rPr>
          <w:rFonts w:hint="eastAsia" w:ascii="宋体" w:hAnsi="宋体" w:cs="宋体"/>
          <w:sz w:val="24"/>
          <w:szCs w:val="24"/>
        </w:rPr>
        <w:t>七、、联系方式</w:t>
      </w:r>
    </w:p>
    <w:p>
      <w:pPr>
        <w:spacing w:line="360" w:lineRule="auto"/>
        <w:ind w:firstLine="480" w:firstLineChars="200"/>
        <w:rPr>
          <w:rFonts w:ascii="宋体" w:hAnsi="宋体" w:cs="宋体"/>
          <w:sz w:val="24"/>
          <w:szCs w:val="24"/>
        </w:rPr>
      </w:pPr>
      <w:r>
        <w:rPr>
          <w:rFonts w:hint="eastAsia" w:ascii="宋体" w:hAnsi="宋体" w:cs="宋体"/>
          <w:sz w:val="24"/>
          <w:szCs w:val="24"/>
        </w:rPr>
        <w:t>采购人：中国邮政储蓄银行股份有限公司许昌市分行</w:t>
      </w:r>
    </w:p>
    <w:p>
      <w:pPr>
        <w:spacing w:line="360" w:lineRule="auto"/>
        <w:ind w:firstLine="480" w:firstLineChars="200"/>
        <w:rPr>
          <w:rFonts w:ascii="宋体" w:hAnsi="宋体" w:cs="宋体"/>
          <w:sz w:val="24"/>
          <w:szCs w:val="24"/>
        </w:rPr>
      </w:pPr>
      <w:r>
        <w:rPr>
          <w:rFonts w:hint="eastAsia" w:ascii="宋体" w:hAnsi="宋体" w:cs="宋体"/>
          <w:sz w:val="24"/>
          <w:szCs w:val="24"/>
        </w:rPr>
        <w:t>地  址：河南省许昌市颖昌路402号</w:t>
      </w:r>
    </w:p>
    <w:p>
      <w:pPr>
        <w:spacing w:line="360" w:lineRule="auto"/>
        <w:ind w:firstLine="480" w:firstLineChars="200"/>
        <w:rPr>
          <w:rFonts w:ascii="宋体" w:hAnsi="宋体" w:cs="宋体"/>
          <w:sz w:val="24"/>
          <w:szCs w:val="24"/>
        </w:rPr>
      </w:pPr>
      <w:r>
        <w:rPr>
          <w:rFonts w:hint="eastAsia" w:ascii="宋体" w:hAnsi="宋体" w:cs="宋体"/>
          <w:sz w:val="24"/>
          <w:szCs w:val="24"/>
        </w:rPr>
        <w:t>联系人：刘女士</w:t>
      </w:r>
    </w:p>
    <w:p>
      <w:pPr>
        <w:spacing w:line="360" w:lineRule="auto"/>
        <w:ind w:firstLine="480" w:firstLineChars="200"/>
        <w:rPr>
          <w:rFonts w:ascii="宋体" w:hAnsi="宋体" w:cs="宋体"/>
          <w:sz w:val="24"/>
          <w:szCs w:val="24"/>
        </w:rPr>
      </w:pPr>
      <w:r>
        <w:rPr>
          <w:rFonts w:hint="eastAsia" w:ascii="宋体" w:hAnsi="宋体" w:cs="宋体"/>
          <w:sz w:val="24"/>
          <w:szCs w:val="24"/>
        </w:rPr>
        <w:t>联系电话：0374-2660300</w:t>
      </w:r>
    </w:p>
    <w:p>
      <w:pPr>
        <w:spacing w:line="360" w:lineRule="auto"/>
        <w:ind w:firstLine="480" w:firstLineChars="200"/>
        <w:rPr>
          <w:rFonts w:ascii="宋体" w:hAnsi="宋体" w:cs="宋体"/>
          <w:sz w:val="24"/>
          <w:szCs w:val="24"/>
        </w:rPr>
      </w:pPr>
      <w:r>
        <w:rPr>
          <w:rFonts w:hint="eastAsia" w:ascii="宋体" w:hAnsi="宋体" w:cs="宋体"/>
          <w:sz w:val="24"/>
          <w:szCs w:val="24"/>
        </w:rPr>
        <w:t>代理机构：河南省伟信招标管理咨询有限公司</w:t>
      </w:r>
    </w:p>
    <w:p>
      <w:pPr>
        <w:spacing w:line="360" w:lineRule="auto"/>
        <w:ind w:firstLine="480" w:firstLineChars="200"/>
        <w:rPr>
          <w:rFonts w:ascii="宋体" w:hAnsi="宋体" w:cs="宋体"/>
          <w:sz w:val="24"/>
          <w:szCs w:val="24"/>
        </w:rPr>
      </w:pPr>
      <w:r>
        <w:rPr>
          <w:rFonts w:hint="eastAsia" w:ascii="宋体" w:hAnsi="宋体" w:cs="宋体"/>
          <w:sz w:val="24"/>
          <w:szCs w:val="24"/>
        </w:rPr>
        <w:t>地 址：学院路恒大绿洲紫薇公寓1818室</w:t>
      </w:r>
    </w:p>
    <w:p>
      <w:pPr>
        <w:spacing w:line="360" w:lineRule="auto"/>
        <w:ind w:firstLine="480" w:firstLineChars="200"/>
        <w:rPr>
          <w:rFonts w:ascii="宋体" w:hAnsi="宋体" w:cs="宋体"/>
          <w:sz w:val="24"/>
          <w:szCs w:val="24"/>
        </w:rPr>
      </w:pPr>
      <w:r>
        <w:rPr>
          <w:rFonts w:hint="eastAsia" w:ascii="宋体" w:hAnsi="宋体" w:cs="宋体"/>
          <w:sz w:val="24"/>
          <w:szCs w:val="24"/>
        </w:rPr>
        <w:t>联系人：李先生</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联系电话：15290910904 </w:t>
      </w:r>
      <w:r>
        <w:rPr>
          <w:rFonts w:ascii="宋体" w:hAnsi="宋体" w:cs="宋体"/>
          <w:sz w:val="24"/>
          <w:szCs w:val="24"/>
        </w:rPr>
        <w:t>13598966273</w:t>
      </w:r>
    </w:p>
    <w:p>
      <w:pPr>
        <w:widowControl/>
        <w:jc w:val="left"/>
        <w:rPr>
          <w:rFonts w:ascii="宋体" w:hAnsi="宋体" w:cs="宋体"/>
          <w:sz w:val="24"/>
          <w:szCs w:val="24"/>
        </w:rPr>
      </w:pPr>
      <w:r>
        <w:rPr>
          <w:rFonts w:ascii="宋体" w:hAnsi="宋体" w:cs="宋体"/>
          <w:sz w:val="24"/>
          <w:szCs w:val="24"/>
        </w:rPr>
        <w:br w:type="page"/>
      </w:r>
    </w:p>
    <w:bookmarkEnd w:id="2"/>
    <w:p>
      <w:pPr>
        <w:pStyle w:val="2"/>
        <w:tabs>
          <w:tab w:val="clear" w:pos="5276"/>
        </w:tabs>
        <w:spacing w:line="720" w:lineRule="auto"/>
        <w:rPr>
          <w:sz w:val="44"/>
          <w:szCs w:val="44"/>
        </w:rPr>
      </w:pPr>
      <w:r>
        <w:rPr>
          <w:rFonts w:hint="eastAsia"/>
          <w:sz w:val="44"/>
          <w:szCs w:val="44"/>
        </w:rPr>
        <w:t>第二章  项目需求及其它要求</w:t>
      </w:r>
    </w:p>
    <w:p>
      <w:pPr>
        <w:widowControl/>
        <w:shd w:val="clear" w:color="auto" w:fill="FFFFFF"/>
        <w:spacing w:line="360" w:lineRule="auto"/>
        <w:contextualSpacing/>
        <w:jc w:val="left"/>
        <w:rPr>
          <w:rFonts w:ascii="宋体" w:hAnsi="宋体" w:eastAsia="宋体" w:cs="宋体"/>
          <w:b/>
          <w:kern w:val="0"/>
          <w:sz w:val="24"/>
          <w:szCs w:val="28"/>
          <w:lang w:val="zh-CN"/>
        </w:rPr>
      </w:pPr>
      <w:r>
        <w:rPr>
          <w:rFonts w:hint="eastAsia" w:ascii="宋体" w:hAnsi="宋体" w:eastAsia="宋体" w:cs="宋体"/>
          <w:b/>
          <w:kern w:val="0"/>
          <w:sz w:val="24"/>
          <w:szCs w:val="28"/>
          <w:lang w:val="zh-CN"/>
        </w:rPr>
        <w:t>一、本项目需实现的功能或者目标：</w:t>
      </w:r>
      <w:r>
        <w:rPr>
          <w:rFonts w:hint="eastAsia" w:ascii="宋体" w:hAnsi="宋体" w:eastAsia="宋体"/>
          <w:sz w:val="24"/>
          <w:szCs w:val="28"/>
        </w:rPr>
        <w:t>本次采购项目为提供许昌市分行495名员工2019年体检服务。其中：在岗男职工45岁以上68人，45岁以下112人；在岗女职工已婚250人，未婚 27人；退休职工38人。</w:t>
      </w:r>
    </w:p>
    <w:p>
      <w:pPr>
        <w:widowControl/>
        <w:shd w:val="clear" w:color="auto" w:fill="FFFFFF"/>
        <w:spacing w:line="360" w:lineRule="auto"/>
        <w:contextualSpacing/>
        <w:jc w:val="left"/>
        <w:rPr>
          <w:rFonts w:ascii="宋体" w:hAnsi="宋体" w:eastAsia="宋体"/>
          <w:sz w:val="24"/>
          <w:szCs w:val="28"/>
        </w:rPr>
      </w:pPr>
      <w:r>
        <w:rPr>
          <w:rFonts w:hint="eastAsia" w:ascii="宋体" w:hAnsi="宋体" w:eastAsia="宋体"/>
          <w:b/>
          <w:sz w:val="24"/>
          <w:szCs w:val="28"/>
        </w:rPr>
        <w:t>二、采购标的成果</w:t>
      </w:r>
      <w:r>
        <w:rPr>
          <w:rFonts w:hint="eastAsia" w:ascii="宋体" w:hAnsi="宋体"/>
          <w:b/>
          <w:sz w:val="24"/>
          <w:szCs w:val="28"/>
          <w:lang w:eastAsia="zh-CN"/>
        </w:rPr>
        <w:t>：</w:t>
      </w:r>
      <w:r>
        <w:rPr>
          <w:rFonts w:hint="eastAsia" w:ascii="宋体" w:hAnsi="宋体" w:eastAsia="宋体"/>
          <w:sz w:val="24"/>
          <w:szCs w:val="28"/>
        </w:rPr>
        <w:t>供应商</w:t>
      </w:r>
      <w:r>
        <w:rPr>
          <w:rFonts w:ascii="宋体" w:hAnsi="宋体" w:eastAsia="宋体"/>
          <w:sz w:val="24"/>
          <w:szCs w:val="28"/>
        </w:rPr>
        <w:t>为</w:t>
      </w:r>
      <w:r>
        <w:rPr>
          <w:rFonts w:hint="eastAsia" w:ascii="宋体" w:hAnsi="宋体" w:eastAsia="宋体"/>
          <w:sz w:val="24"/>
          <w:szCs w:val="28"/>
        </w:rPr>
        <w:t>中国邮政储蓄银行股份有限公司许昌市分行提供体检服务，包括但不限于以下项目：</w:t>
      </w:r>
    </w:p>
    <w:tbl>
      <w:tblPr>
        <w:tblStyle w:val="18"/>
        <w:tblW w:w="9005" w:type="dxa"/>
        <w:tblInd w:w="0" w:type="dxa"/>
        <w:tblLayout w:type="fixed"/>
        <w:tblCellMar>
          <w:top w:w="0" w:type="dxa"/>
          <w:left w:w="108" w:type="dxa"/>
          <w:bottom w:w="0" w:type="dxa"/>
          <w:right w:w="108" w:type="dxa"/>
        </w:tblCellMar>
      </w:tblPr>
      <w:tblGrid>
        <w:gridCol w:w="522"/>
        <w:gridCol w:w="1293"/>
        <w:gridCol w:w="2074"/>
        <w:gridCol w:w="5116"/>
      </w:tblGrid>
      <w:tr>
        <w:tblPrEx>
          <w:tblLayout w:type="fixed"/>
          <w:tblCellMar>
            <w:top w:w="0" w:type="dxa"/>
            <w:left w:w="108" w:type="dxa"/>
            <w:bottom w:w="0" w:type="dxa"/>
            <w:right w:w="108" w:type="dxa"/>
          </w:tblCellMar>
        </w:tblPrEx>
        <w:trPr>
          <w:trHeight w:val="499" w:hRule="atLeast"/>
        </w:trPr>
        <w:tc>
          <w:tcPr>
            <w:tcW w:w="9005" w:type="dxa"/>
            <w:gridSpan w:val="4"/>
            <w:tcBorders>
              <w:top w:val="nil"/>
              <w:left w:val="nil"/>
              <w:bottom w:val="single" w:color="auto" w:sz="4" w:space="0"/>
              <w:right w:val="nil"/>
            </w:tcBorders>
            <w:shd w:val="clear" w:color="auto" w:fill="auto"/>
            <w:vAlign w:val="center"/>
          </w:tcPr>
          <w:p>
            <w:pPr>
              <w:widowControl/>
              <w:spacing w:line="276" w:lineRule="auto"/>
              <w:jc w:val="left"/>
              <w:rPr>
                <w:rFonts w:ascii="宋体" w:hAnsi="宋体" w:eastAsia="宋体" w:cs="宋体"/>
                <w:b/>
                <w:bCs/>
                <w:color w:val="003366"/>
                <w:kern w:val="0"/>
                <w:szCs w:val="21"/>
              </w:rPr>
            </w:pPr>
            <w:r>
              <w:rPr>
                <w:rFonts w:hint="eastAsia" w:ascii="宋体" w:hAnsi="宋体" w:eastAsia="宋体" w:cs="宋体"/>
                <w:b/>
                <w:bCs/>
                <w:color w:val="003366"/>
                <w:kern w:val="0"/>
                <w:szCs w:val="21"/>
              </w:rPr>
              <w:t xml:space="preserve">45岁以上（含45岁）男性套餐 </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编号</w:t>
            </w:r>
          </w:p>
        </w:tc>
        <w:tc>
          <w:tcPr>
            <w:tcW w:w="1293" w:type="dxa"/>
            <w:tcBorders>
              <w:top w:val="nil"/>
              <w:left w:val="nil"/>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项目</w:t>
            </w:r>
          </w:p>
        </w:tc>
        <w:tc>
          <w:tcPr>
            <w:tcW w:w="2074" w:type="dxa"/>
            <w:tcBorders>
              <w:top w:val="nil"/>
              <w:left w:val="nil"/>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检查内容</w:t>
            </w:r>
          </w:p>
        </w:tc>
        <w:tc>
          <w:tcPr>
            <w:tcW w:w="5116" w:type="dxa"/>
            <w:tcBorders>
              <w:top w:val="nil"/>
              <w:left w:val="nil"/>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意义</w:t>
            </w:r>
          </w:p>
        </w:tc>
      </w:tr>
      <w:tr>
        <w:tblPrEx>
          <w:tblLayout w:type="fixed"/>
          <w:tblCellMar>
            <w:top w:w="0" w:type="dxa"/>
            <w:left w:w="108" w:type="dxa"/>
            <w:bottom w:w="0" w:type="dxa"/>
            <w:right w:w="108" w:type="dxa"/>
          </w:tblCellMar>
        </w:tblPrEx>
        <w:trPr>
          <w:trHeight w:val="450" w:hRule="atLeast"/>
        </w:trPr>
        <w:tc>
          <w:tcPr>
            <w:tcW w:w="522" w:type="dxa"/>
            <w:tcBorders>
              <w:top w:val="nil"/>
              <w:left w:val="single" w:color="auto" w:sz="4" w:space="0"/>
              <w:bottom w:val="nil"/>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w:t>
            </w:r>
          </w:p>
        </w:tc>
        <w:tc>
          <w:tcPr>
            <w:tcW w:w="1293" w:type="dxa"/>
            <w:tcBorders>
              <w:top w:val="nil"/>
              <w:left w:val="nil"/>
              <w:bottom w:val="nil"/>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一般项目</w:t>
            </w:r>
          </w:p>
        </w:tc>
        <w:tc>
          <w:tcPr>
            <w:tcW w:w="2074" w:type="dxa"/>
            <w:tcBorders>
              <w:top w:val="nil"/>
              <w:left w:val="nil"/>
              <w:bottom w:val="nil"/>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身高、体重、血压（BP）、脉搏（P）</w:t>
            </w:r>
          </w:p>
        </w:tc>
        <w:tc>
          <w:tcPr>
            <w:tcW w:w="5116" w:type="dxa"/>
            <w:tcBorders>
              <w:top w:val="nil"/>
              <w:left w:val="nil"/>
              <w:bottom w:val="nil"/>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体重是否正常，有无体重不足、超重或肥胖；有无血压、脉搏异常等。</w:t>
            </w:r>
          </w:p>
        </w:tc>
      </w:tr>
      <w:tr>
        <w:tblPrEx>
          <w:tblLayout w:type="fixed"/>
          <w:tblCellMar>
            <w:top w:w="0" w:type="dxa"/>
            <w:left w:w="108" w:type="dxa"/>
            <w:bottom w:w="0" w:type="dxa"/>
            <w:right w:w="108" w:type="dxa"/>
          </w:tblCellMar>
        </w:tblPrEx>
        <w:trPr>
          <w:trHeight w:val="270" w:hRule="atLeast"/>
        </w:trPr>
        <w:tc>
          <w:tcPr>
            <w:tcW w:w="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w:t>
            </w:r>
          </w:p>
        </w:tc>
        <w:tc>
          <w:tcPr>
            <w:tcW w:w="1293" w:type="dxa"/>
            <w:vMerge w:val="restart"/>
            <w:tcBorders>
              <w:top w:val="single" w:color="auto" w:sz="4" w:space="0"/>
              <w:left w:val="single" w:color="auto" w:sz="4" w:space="0"/>
              <w:bottom w:val="nil"/>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肝功能八项</w:t>
            </w:r>
          </w:p>
        </w:tc>
        <w:tc>
          <w:tcPr>
            <w:tcW w:w="2074" w:type="dxa"/>
            <w:tcBorders>
              <w:top w:val="single" w:color="auto" w:sz="4" w:space="0"/>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1.谷丙转氨酶</w:t>
            </w:r>
          </w:p>
        </w:tc>
        <w:tc>
          <w:tcPr>
            <w:tcW w:w="5116" w:type="dxa"/>
            <w:tcBorders>
              <w:top w:val="single" w:color="auto" w:sz="4" w:space="0"/>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能敏感地反映肝细胞损伤与否及损伤程度。</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2.谷草转氨酶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主要反映的是肝脏损伤程度。</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3.总胆红素</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诊断是否有肝脏疾病或胆道是否发生异常。</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4.间接胆红素</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诊断是否有肝脏疾病或胆道是否发生异常。</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5.直接胆红素</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用于鉴别黄疸的类型。</w:t>
            </w:r>
          </w:p>
        </w:tc>
      </w:tr>
      <w:tr>
        <w:tblPrEx>
          <w:tblLayout w:type="fixed"/>
          <w:tblCellMar>
            <w:top w:w="0" w:type="dxa"/>
            <w:left w:w="108" w:type="dxa"/>
            <w:bottom w:w="0" w:type="dxa"/>
            <w:right w:w="108" w:type="dxa"/>
          </w:tblCellMar>
        </w:tblPrEx>
        <w:trPr>
          <w:trHeight w:val="48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6.碱性磷酸酶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主要用于阻塞性黄疸、原发性肝癌、继发性肝癌、胆汁淤积性肝炎等的检查。</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7.谷氨酰转肽酶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最常用于筛检肝脏机能障碍、肝硬化及酒精性肝损害。</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8.总蛋白</w:t>
            </w:r>
          </w:p>
        </w:tc>
        <w:tc>
          <w:tcPr>
            <w:tcW w:w="5116"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用于筛检肝脏机能障碍、肝硬化等</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9.白蛋白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10.球蛋白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11.白球比</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3</w:t>
            </w:r>
          </w:p>
        </w:tc>
        <w:tc>
          <w:tcPr>
            <w:tcW w:w="1293" w:type="dxa"/>
            <w:vMerge w:val="restart"/>
            <w:tcBorders>
              <w:top w:val="single" w:color="auto" w:sz="4" w:space="0"/>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肾功能三项</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1.尿酸</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可提示：高尿酸血症、痛风及肾脏功能损害等。</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2.肌酐</w:t>
            </w:r>
          </w:p>
        </w:tc>
        <w:tc>
          <w:tcPr>
            <w:tcW w:w="5116" w:type="dxa"/>
            <w:vMerge w:val="restart"/>
            <w:tcBorders>
              <w:top w:val="nil"/>
              <w:left w:val="nil"/>
              <w:bottom w:val="single" w:color="auto" w:sz="4" w:space="0"/>
              <w:right w:val="nil"/>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可提示有无肾功能损害：如慢性肾炎，肾盂肾炎，肾结核，尿毒症等。</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3.尿素氮</w:t>
            </w:r>
          </w:p>
        </w:tc>
        <w:tc>
          <w:tcPr>
            <w:tcW w:w="5116" w:type="dxa"/>
            <w:vMerge w:val="continue"/>
            <w:tcBorders>
              <w:top w:val="nil"/>
              <w:left w:val="nil"/>
              <w:bottom w:val="single" w:color="auto" w:sz="4" w:space="0"/>
              <w:right w:val="nil"/>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4</w:t>
            </w:r>
          </w:p>
        </w:tc>
        <w:tc>
          <w:tcPr>
            <w:tcW w:w="1293"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血脂四项</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1.总胆固醇</w:t>
            </w:r>
          </w:p>
        </w:tc>
        <w:tc>
          <w:tcPr>
            <w:tcW w:w="5116"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血脂升高是导致高血压、冠心病、心肌梗塞、动脉粥样硬化的高度危险因素。</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2.甘油三脂</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3.高密度脂蛋白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4.低密度脂蛋白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5</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空腹血糖</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空腹血糖测定</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从血糖水平了解是否有低血糖、糖尿病.了解血糖控制情况等。</w:t>
            </w:r>
          </w:p>
        </w:tc>
      </w:tr>
      <w:tr>
        <w:tblPrEx>
          <w:tblLayout w:type="fixed"/>
          <w:tblCellMar>
            <w:top w:w="0" w:type="dxa"/>
            <w:left w:w="108" w:type="dxa"/>
            <w:bottom w:w="0" w:type="dxa"/>
            <w:right w:w="108" w:type="dxa"/>
          </w:tblCellMar>
        </w:tblPrEx>
        <w:trPr>
          <w:trHeight w:val="45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6</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血常规</w:t>
            </w:r>
          </w:p>
        </w:tc>
        <w:tc>
          <w:tcPr>
            <w:tcW w:w="2074" w:type="dxa"/>
            <w:tcBorders>
              <w:top w:val="nil"/>
              <w:left w:val="nil"/>
              <w:bottom w:val="nil"/>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血常规22项检查</w:t>
            </w:r>
          </w:p>
        </w:tc>
        <w:tc>
          <w:tcPr>
            <w:tcW w:w="5116" w:type="dxa"/>
            <w:tcBorders>
              <w:top w:val="nil"/>
              <w:left w:val="nil"/>
              <w:bottom w:val="nil"/>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通过检测血液细胞的计数及不同种类细胞、成分的分类来反映身体状况，如：贫血、感染等等。</w:t>
            </w:r>
          </w:p>
        </w:tc>
      </w:tr>
      <w:tr>
        <w:tblPrEx>
          <w:tblLayout w:type="fixed"/>
          <w:tblCellMar>
            <w:top w:w="0" w:type="dxa"/>
            <w:left w:w="108" w:type="dxa"/>
            <w:bottom w:w="0" w:type="dxa"/>
            <w:right w:w="108" w:type="dxa"/>
          </w:tblCellMar>
        </w:tblPrEx>
        <w:trPr>
          <w:trHeight w:val="675"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7</w:t>
            </w:r>
          </w:p>
        </w:tc>
        <w:tc>
          <w:tcPr>
            <w:tcW w:w="1293" w:type="dxa"/>
            <w:tcBorders>
              <w:top w:val="nil"/>
              <w:left w:val="nil"/>
              <w:bottom w:val="nil"/>
              <w:right w:val="nil"/>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尿常规</w:t>
            </w:r>
          </w:p>
        </w:tc>
        <w:tc>
          <w:tcPr>
            <w:tcW w:w="2074" w:type="dxa"/>
            <w:tcBorders>
              <w:top w:val="single" w:color="auto" w:sz="4" w:space="0"/>
              <w:left w:val="single" w:color="auto" w:sz="4" w:space="0"/>
              <w:bottom w:val="nil"/>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尿常规12项检查</w:t>
            </w:r>
          </w:p>
        </w:tc>
        <w:tc>
          <w:tcPr>
            <w:tcW w:w="5116" w:type="dxa"/>
            <w:tcBorders>
              <w:top w:val="single" w:color="auto" w:sz="4" w:space="0"/>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提示有无泌尿系统疾患：如急慢性肾炎，肾盂肾炎，膀胱炎，尿道炎，肾病综合征，狼疮性肾炎，血红蛋白尿，肾梗塞、肾小管重金属盐及药物导致急性肾小管坏死，以及有无尿糖等。</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8</w:t>
            </w:r>
          </w:p>
        </w:tc>
        <w:tc>
          <w:tcPr>
            <w:tcW w:w="1293" w:type="dxa"/>
            <w:tcBorders>
              <w:top w:val="single" w:color="auto" w:sz="4" w:space="0"/>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糖化血红蛋白</w:t>
            </w:r>
          </w:p>
        </w:tc>
        <w:tc>
          <w:tcPr>
            <w:tcW w:w="2074" w:type="dxa"/>
            <w:tcBorders>
              <w:top w:val="single" w:color="auto" w:sz="4" w:space="0"/>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HBA1C</w:t>
            </w:r>
          </w:p>
        </w:tc>
        <w:tc>
          <w:tcPr>
            <w:tcW w:w="5116" w:type="dxa"/>
            <w:tcBorders>
              <w:top w:val="nil"/>
              <w:left w:val="nil"/>
              <w:bottom w:val="single" w:color="auto" w:sz="4" w:space="0"/>
              <w:right w:val="nil"/>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可反映近期2-3个月血糖平均水平。</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9</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甲胎蛋白</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肿瘤标志物</w:t>
            </w:r>
          </w:p>
        </w:tc>
        <w:tc>
          <w:tcPr>
            <w:tcW w:w="5116" w:type="dxa"/>
            <w:tcBorders>
              <w:top w:val="nil"/>
              <w:left w:val="nil"/>
              <w:bottom w:val="single" w:color="auto" w:sz="4" w:space="0"/>
              <w:right w:val="nil"/>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可提示有无原发性肝癌，生殖腺胚胎性肿瘤，肝硬化等。</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10</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癌胚抗原</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肿瘤标志物</w:t>
            </w:r>
          </w:p>
        </w:tc>
        <w:tc>
          <w:tcPr>
            <w:tcW w:w="5116" w:type="dxa"/>
            <w:tcBorders>
              <w:top w:val="nil"/>
              <w:left w:val="nil"/>
              <w:bottom w:val="single" w:color="auto" w:sz="4" w:space="0"/>
              <w:right w:val="nil"/>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为广谱肿瘤标志物，可提示直肠癌、结肠癌、肺癌、乳腺癌、胰腺癌等。</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11</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PSA</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肿瘤标志物</w:t>
            </w:r>
          </w:p>
        </w:tc>
        <w:tc>
          <w:tcPr>
            <w:tcW w:w="5116" w:type="dxa"/>
            <w:tcBorders>
              <w:top w:val="nil"/>
              <w:left w:val="nil"/>
              <w:bottom w:val="single" w:color="auto" w:sz="4" w:space="0"/>
              <w:right w:val="nil"/>
            </w:tcBorders>
            <w:shd w:val="clear" w:color="000000" w:fill="BFBFBF"/>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前列腺的肿瘤标志物。</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12</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心电图</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常规心电图检查</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用于心律失常（如早搏、传导障碍等）、心肌缺血、心肌梗塞、心房、心室肥大等诊断。</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13</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16排螺旋胸肺CT</w:t>
            </w:r>
          </w:p>
        </w:tc>
        <w:tc>
          <w:tcPr>
            <w:tcW w:w="2074" w:type="dxa"/>
            <w:tcBorders>
              <w:top w:val="nil"/>
              <w:left w:val="nil"/>
              <w:bottom w:val="nil"/>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CT</w:t>
            </w:r>
          </w:p>
        </w:tc>
        <w:tc>
          <w:tcPr>
            <w:tcW w:w="5116"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有无肺炎、肺气肿、肺结核、肺癌及心脏、主动脉、纵膈、横膈疾病等。</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14</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肝、胆、脾、胰、肾</w:t>
            </w:r>
          </w:p>
        </w:tc>
        <w:tc>
          <w:tcPr>
            <w:tcW w:w="2074" w:type="dxa"/>
            <w:tcBorders>
              <w:top w:val="single" w:color="auto" w:sz="4" w:space="0"/>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彩超</w:t>
            </w:r>
          </w:p>
        </w:tc>
        <w:tc>
          <w:tcPr>
            <w:tcW w:w="5116"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各脏器有无形态学改变及占位性病变（肿瘤、结石、炎症）。</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15</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颈部血管彩超</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彩超</w:t>
            </w:r>
          </w:p>
        </w:tc>
        <w:tc>
          <w:tcPr>
            <w:tcW w:w="5116"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可发现颈动脉粥样硬化、颈部动脉狭窄、斑块，早期预防急性脑血管疾病。适用于有高血压、糖尿病，高血脂、冠心病等病史者。建议50岁以上人员检查。</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16</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四肢动脉硬化检测</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四肢动脉硬化检测</w:t>
            </w:r>
          </w:p>
        </w:tc>
        <w:tc>
          <w:tcPr>
            <w:tcW w:w="5116"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检测四肢动脉血管弹性筛查、有无硬化阻塞，适合高血压病、糖尿病、高血脂等人群</w:t>
            </w:r>
          </w:p>
        </w:tc>
      </w:tr>
      <w:tr>
        <w:tblPrEx>
          <w:tblLayout w:type="fixed"/>
          <w:tblCellMar>
            <w:top w:w="0" w:type="dxa"/>
            <w:left w:w="108" w:type="dxa"/>
            <w:bottom w:w="0" w:type="dxa"/>
            <w:right w:w="108" w:type="dxa"/>
          </w:tblCellMar>
        </w:tblPrEx>
        <w:trPr>
          <w:trHeight w:val="48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17</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同型半胱氨酸</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同型半胱氨酸</w:t>
            </w:r>
          </w:p>
        </w:tc>
        <w:tc>
          <w:tcPr>
            <w:tcW w:w="5116" w:type="dxa"/>
            <w:tcBorders>
              <w:top w:val="nil"/>
              <w:left w:val="nil"/>
              <w:bottom w:val="single" w:color="auto" w:sz="4" w:space="0"/>
              <w:right w:val="nil"/>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易患高血压、冠心病、动脉粥样硬化等疾病，现患病人与预后关系密切。</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18</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数字化肝超</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精准测定肝脏纤维化程度和脂肪含量。实现了对肝脏健康的早筛查、早发现、早预防的目的</w:t>
            </w:r>
          </w:p>
        </w:tc>
      </w:tr>
      <w:tr>
        <w:tblPrEx>
          <w:tblLayout w:type="fixed"/>
          <w:tblCellMar>
            <w:top w:w="0" w:type="dxa"/>
            <w:left w:w="108" w:type="dxa"/>
            <w:bottom w:w="0" w:type="dxa"/>
            <w:right w:w="108" w:type="dxa"/>
          </w:tblCellMar>
        </w:tblPrEx>
        <w:trPr>
          <w:trHeight w:val="48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19</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眼底照相</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　</w:t>
            </w:r>
          </w:p>
        </w:tc>
        <w:tc>
          <w:tcPr>
            <w:tcW w:w="5116"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通过检查眼底血管及视网膜成像。对患有高血压、糖尿病及肾脏病的人群筛查眼底病变，正确评估眼底并发症的严重程度</w:t>
            </w:r>
          </w:p>
        </w:tc>
      </w:tr>
      <w:tr>
        <w:tblPrEx>
          <w:tblLayout w:type="fixed"/>
          <w:tblCellMar>
            <w:top w:w="0" w:type="dxa"/>
            <w:left w:w="108" w:type="dxa"/>
            <w:bottom w:w="0" w:type="dxa"/>
            <w:right w:w="108" w:type="dxa"/>
          </w:tblCellMar>
        </w:tblPrEx>
        <w:trPr>
          <w:trHeight w:val="63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20</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裂隙灯检查</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主要是对眼前节疾病的筛查，角膜，结膜，前房，虹膜，晶体，玻璃体</w:t>
            </w:r>
          </w:p>
        </w:tc>
        <w:tc>
          <w:tcPr>
            <w:tcW w:w="5116"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对眼前节疾病的筛查（如角结膜炎，干眼症，虹膜疾病，白内障等）疾病的发展程度的评估，指导临床诊疗疾病。</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21</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静脉采血</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静脉采血</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含一次性采血针、真空管</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22</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个性化体检报告</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个性化体检报告</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由总检医师对所有单项检查结果进行综合判断后，并根据个人情况给予相关建议和指导，出具体检报告</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23</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早餐</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营养早餐</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免费为客人提供鸡蛋、粥、豆浆、时令蔬菜、包子等</w:t>
            </w:r>
          </w:p>
        </w:tc>
      </w:tr>
      <w:tr>
        <w:tblPrEx>
          <w:tblLayout w:type="fixed"/>
          <w:tblCellMar>
            <w:top w:w="0" w:type="dxa"/>
            <w:left w:w="108" w:type="dxa"/>
            <w:bottom w:w="0" w:type="dxa"/>
            <w:right w:w="108" w:type="dxa"/>
          </w:tblCellMar>
        </w:tblPrEx>
        <w:trPr>
          <w:trHeight w:val="270" w:hRule="atLeast"/>
        </w:trPr>
        <w:tc>
          <w:tcPr>
            <w:tcW w:w="522"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b/>
                <w:bCs/>
                <w:kern w:val="0"/>
                <w:szCs w:val="21"/>
              </w:rPr>
            </w:pPr>
          </w:p>
        </w:tc>
        <w:tc>
          <w:tcPr>
            <w:tcW w:w="1293"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c>
          <w:tcPr>
            <w:tcW w:w="2074"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c>
          <w:tcPr>
            <w:tcW w:w="5116"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b/>
                <w:bCs/>
                <w:kern w:val="0"/>
                <w:szCs w:val="21"/>
              </w:rPr>
            </w:pPr>
          </w:p>
        </w:tc>
        <w:tc>
          <w:tcPr>
            <w:tcW w:w="1293"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c>
          <w:tcPr>
            <w:tcW w:w="2074"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c>
          <w:tcPr>
            <w:tcW w:w="5116"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540" w:hRule="atLeast"/>
        </w:trPr>
        <w:tc>
          <w:tcPr>
            <w:tcW w:w="9005" w:type="dxa"/>
            <w:gridSpan w:val="4"/>
            <w:tcBorders>
              <w:top w:val="nil"/>
              <w:left w:val="nil"/>
              <w:bottom w:val="single" w:color="auto" w:sz="4" w:space="0"/>
              <w:right w:val="nil"/>
            </w:tcBorders>
            <w:shd w:val="clear" w:color="auto" w:fill="auto"/>
            <w:vAlign w:val="center"/>
          </w:tcPr>
          <w:p>
            <w:pPr>
              <w:widowControl/>
              <w:spacing w:line="276" w:lineRule="auto"/>
              <w:jc w:val="left"/>
              <w:rPr>
                <w:rFonts w:ascii="宋体" w:hAnsi="宋体" w:eastAsia="宋体" w:cs="宋体"/>
                <w:b/>
                <w:bCs/>
                <w:color w:val="003366"/>
                <w:kern w:val="0"/>
                <w:szCs w:val="21"/>
              </w:rPr>
            </w:pPr>
            <w:r>
              <w:rPr>
                <w:rFonts w:hint="eastAsia" w:ascii="宋体" w:hAnsi="宋体" w:eastAsia="宋体" w:cs="宋体"/>
                <w:b/>
                <w:bCs/>
                <w:color w:val="003366"/>
                <w:kern w:val="0"/>
                <w:szCs w:val="21"/>
              </w:rPr>
              <w:t xml:space="preserve">45岁以下男性套餐 </w:t>
            </w:r>
          </w:p>
        </w:tc>
      </w:tr>
      <w:tr>
        <w:tblPrEx>
          <w:tblLayout w:type="fixed"/>
          <w:tblCellMar>
            <w:top w:w="0" w:type="dxa"/>
            <w:left w:w="108" w:type="dxa"/>
            <w:bottom w:w="0" w:type="dxa"/>
            <w:right w:w="108" w:type="dxa"/>
          </w:tblCellMar>
        </w:tblPrEx>
        <w:trPr>
          <w:trHeight w:val="439" w:hRule="atLeast"/>
        </w:trPr>
        <w:tc>
          <w:tcPr>
            <w:tcW w:w="522" w:type="dxa"/>
            <w:tcBorders>
              <w:top w:val="nil"/>
              <w:left w:val="single" w:color="auto" w:sz="4" w:space="0"/>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编号</w:t>
            </w:r>
          </w:p>
        </w:tc>
        <w:tc>
          <w:tcPr>
            <w:tcW w:w="1293" w:type="dxa"/>
            <w:tcBorders>
              <w:top w:val="nil"/>
              <w:left w:val="nil"/>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项目</w:t>
            </w:r>
          </w:p>
        </w:tc>
        <w:tc>
          <w:tcPr>
            <w:tcW w:w="2074" w:type="dxa"/>
            <w:tcBorders>
              <w:top w:val="nil"/>
              <w:left w:val="nil"/>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检查内容</w:t>
            </w:r>
          </w:p>
        </w:tc>
        <w:tc>
          <w:tcPr>
            <w:tcW w:w="5116" w:type="dxa"/>
            <w:tcBorders>
              <w:top w:val="nil"/>
              <w:left w:val="nil"/>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意义</w:t>
            </w:r>
          </w:p>
        </w:tc>
      </w:tr>
      <w:tr>
        <w:tblPrEx>
          <w:tblLayout w:type="fixed"/>
          <w:tblCellMar>
            <w:top w:w="0" w:type="dxa"/>
            <w:left w:w="108" w:type="dxa"/>
            <w:bottom w:w="0" w:type="dxa"/>
            <w:right w:w="108" w:type="dxa"/>
          </w:tblCellMar>
        </w:tblPrEx>
        <w:trPr>
          <w:trHeight w:val="450" w:hRule="atLeast"/>
        </w:trPr>
        <w:tc>
          <w:tcPr>
            <w:tcW w:w="522" w:type="dxa"/>
            <w:tcBorders>
              <w:top w:val="nil"/>
              <w:left w:val="single" w:color="auto" w:sz="4" w:space="0"/>
              <w:bottom w:val="nil"/>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w:t>
            </w:r>
          </w:p>
        </w:tc>
        <w:tc>
          <w:tcPr>
            <w:tcW w:w="1293" w:type="dxa"/>
            <w:tcBorders>
              <w:top w:val="nil"/>
              <w:left w:val="nil"/>
              <w:bottom w:val="nil"/>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一般项目</w:t>
            </w:r>
          </w:p>
        </w:tc>
        <w:tc>
          <w:tcPr>
            <w:tcW w:w="2074" w:type="dxa"/>
            <w:tcBorders>
              <w:top w:val="nil"/>
              <w:left w:val="nil"/>
              <w:bottom w:val="nil"/>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身高、体重、血压（BP）、脉搏（P）</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体重是否正常，有无体重不足、超重或肥胖；有无血压、脉搏异常等。</w:t>
            </w:r>
          </w:p>
        </w:tc>
      </w:tr>
      <w:tr>
        <w:tblPrEx>
          <w:tblLayout w:type="fixed"/>
          <w:tblCellMar>
            <w:top w:w="0" w:type="dxa"/>
            <w:left w:w="108" w:type="dxa"/>
            <w:bottom w:w="0" w:type="dxa"/>
            <w:right w:w="108" w:type="dxa"/>
          </w:tblCellMar>
        </w:tblPrEx>
        <w:trPr>
          <w:trHeight w:val="270" w:hRule="atLeast"/>
        </w:trPr>
        <w:tc>
          <w:tcPr>
            <w:tcW w:w="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w:t>
            </w:r>
          </w:p>
        </w:tc>
        <w:tc>
          <w:tcPr>
            <w:tcW w:w="1293" w:type="dxa"/>
            <w:vMerge w:val="restart"/>
            <w:tcBorders>
              <w:top w:val="single" w:color="auto" w:sz="4" w:space="0"/>
              <w:left w:val="single" w:color="auto" w:sz="4" w:space="0"/>
              <w:bottom w:val="nil"/>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肝功能八项</w:t>
            </w:r>
          </w:p>
        </w:tc>
        <w:tc>
          <w:tcPr>
            <w:tcW w:w="2074" w:type="dxa"/>
            <w:tcBorders>
              <w:top w:val="single" w:color="auto" w:sz="4" w:space="0"/>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1.谷丙转氨酶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能敏感地反映肝细胞损伤与否及损伤程度。</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2.谷草转氨酶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主要反映的是肝脏损伤程度。</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3.总胆红素</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诊断是否有肝脏疾病或胆道是否发生异常。</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4.间接胆红素</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诊断是否有肝脏疾病或胆道是否发生异常。</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5.直接胆红素</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用于鉴别黄疸的类型。</w:t>
            </w:r>
          </w:p>
        </w:tc>
      </w:tr>
      <w:tr>
        <w:tblPrEx>
          <w:tblLayout w:type="fixed"/>
          <w:tblCellMar>
            <w:top w:w="0" w:type="dxa"/>
            <w:left w:w="108" w:type="dxa"/>
            <w:bottom w:w="0" w:type="dxa"/>
            <w:right w:w="108" w:type="dxa"/>
          </w:tblCellMar>
        </w:tblPrEx>
        <w:trPr>
          <w:trHeight w:val="48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6.碱性磷酸酶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主要用于阻塞性黄疸、原发性肝癌、继发性肝癌、胆汁淤积性肝炎等的检查。</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7.谷氨酰转肽酶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最常用于筛检肝脏机能障碍、肝硬化及酒精性肝损害。</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8.总蛋白</w:t>
            </w:r>
          </w:p>
        </w:tc>
        <w:tc>
          <w:tcPr>
            <w:tcW w:w="5116"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用于筛检肝脏机能障碍、肝硬化等</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9.白蛋白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10.球蛋白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11.白球比</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3</w:t>
            </w:r>
          </w:p>
        </w:tc>
        <w:tc>
          <w:tcPr>
            <w:tcW w:w="1293" w:type="dxa"/>
            <w:vMerge w:val="restart"/>
            <w:tcBorders>
              <w:top w:val="single" w:color="auto" w:sz="4" w:space="0"/>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肾功能三项</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1.尿酸</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可提示：高尿酸血症、痛风及肾脏功能损害等。</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2.肌酐</w:t>
            </w:r>
          </w:p>
        </w:tc>
        <w:tc>
          <w:tcPr>
            <w:tcW w:w="5116"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可提示有无肾功能损害：如慢性肾炎，肾盂肾炎，肾结核，尿毒症等。</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3.尿素氮</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4</w:t>
            </w:r>
          </w:p>
        </w:tc>
        <w:tc>
          <w:tcPr>
            <w:tcW w:w="1293"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血脂四项</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1.总胆固醇</w:t>
            </w:r>
          </w:p>
        </w:tc>
        <w:tc>
          <w:tcPr>
            <w:tcW w:w="5116"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血脂升高是导致高血压、冠心病、心肌梗塞、动脉粥样硬化的高度危险因素。</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2.甘油三脂</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3.高密度脂蛋白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4.低密度脂蛋白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5</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空腹血糖</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空腹血糖测定</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从血糖水平了解是否有低血糖、糖尿病.了解血糖控制情况等。</w:t>
            </w:r>
          </w:p>
        </w:tc>
      </w:tr>
      <w:tr>
        <w:tblPrEx>
          <w:tblLayout w:type="fixed"/>
          <w:tblCellMar>
            <w:top w:w="0" w:type="dxa"/>
            <w:left w:w="108" w:type="dxa"/>
            <w:bottom w:w="0" w:type="dxa"/>
            <w:right w:w="108" w:type="dxa"/>
          </w:tblCellMar>
        </w:tblPrEx>
        <w:trPr>
          <w:trHeight w:val="45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6</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血常规</w:t>
            </w:r>
          </w:p>
        </w:tc>
        <w:tc>
          <w:tcPr>
            <w:tcW w:w="2074" w:type="dxa"/>
            <w:tcBorders>
              <w:top w:val="nil"/>
              <w:left w:val="nil"/>
              <w:bottom w:val="nil"/>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血常规22项检查</w:t>
            </w:r>
          </w:p>
        </w:tc>
        <w:tc>
          <w:tcPr>
            <w:tcW w:w="5116" w:type="dxa"/>
            <w:tcBorders>
              <w:top w:val="nil"/>
              <w:left w:val="nil"/>
              <w:bottom w:val="nil"/>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通过检测血液细胞的计数及不同种类细胞、成分的分类来反映身体状况，如：贫血、感染等等。</w:t>
            </w:r>
          </w:p>
        </w:tc>
      </w:tr>
      <w:tr>
        <w:tblPrEx>
          <w:tblLayout w:type="fixed"/>
          <w:tblCellMar>
            <w:top w:w="0" w:type="dxa"/>
            <w:left w:w="108" w:type="dxa"/>
            <w:bottom w:w="0" w:type="dxa"/>
            <w:right w:w="108" w:type="dxa"/>
          </w:tblCellMar>
        </w:tblPrEx>
        <w:trPr>
          <w:trHeight w:val="675"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7</w:t>
            </w:r>
          </w:p>
        </w:tc>
        <w:tc>
          <w:tcPr>
            <w:tcW w:w="1293" w:type="dxa"/>
            <w:tcBorders>
              <w:top w:val="nil"/>
              <w:left w:val="nil"/>
              <w:bottom w:val="nil"/>
              <w:right w:val="nil"/>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尿常规</w:t>
            </w:r>
          </w:p>
        </w:tc>
        <w:tc>
          <w:tcPr>
            <w:tcW w:w="2074" w:type="dxa"/>
            <w:tcBorders>
              <w:top w:val="single" w:color="auto" w:sz="4" w:space="0"/>
              <w:left w:val="single" w:color="auto" w:sz="4" w:space="0"/>
              <w:bottom w:val="nil"/>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尿常规12项检查</w:t>
            </w:r>
          </w:p>
        </w:tc>
        <w:tc>
          <w:tcPr>
            <w:tcW w:w="5116" w:type="dxa"/>
            <w:tcBorders>
              <w:top w:val="single" w:color="auto" w:sz="4" w:space="0"/>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提示有无泌尿系统疾患：如急慢性肾炎，肾盂肾炎，膀胱炎，尿道炎，肾病综合征，狼疮性肾炎，血红蛋白尿，肾梗塞、肾小管重金属盐及药物导致急性肾小管坏死，以及有无尿糖等。</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8</w:t>
            </w:r>
          </w:p>
        </w:tc>
        <w:tc>
          <w:tcPr>
            <w:tcW w:w="1293" w:type="dxa"/>
            <w:tcBorders>
              <w:top w:val="single" w:color="auto" w:sz="4" w:space="0"/>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心电图</w:t>
            </w:r>
          </w:p>
        </w:tc>
        <w:tc>
          <w:tcPr>
            <w:tcW w:w="2074" w:type="dxa"/>
            <w:tcBorders>
              <w:top w:val="single" w:color="auto" w:sz="4" w:space="0"/>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常规心电图检查</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用于心律失常（如早搏、传导障碍等）、心肌缺血、心肌梗塞、心房、心室肥大等诊断。</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9</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甲胎蛋白</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肿瘤标志物</w:t>
            </w:r>
          </w:p>
        </w:tc>
        <w:tc>
          <w:tcPr>
            <w:tcW w:w="5116" w:type="dxa"/>
            <w:tcBorders>
              <w:top w:val="nil"/>
              <w:left w:val="nil"/>
              <w:bottom w:val="single" w:color="auto" w:sz="4" w:space="0"/>
              <w:right w:val="nil"/>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可提示有无原发性肝癌，生殖腺胚胎性肿瘤，肝硬化等。</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10</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癌胚抗原</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肿瘤标志物</w:t>
            </w:r>
          </w:p>
        </w:tc>
        <w:tc>
          <w:tcPr>
            <w:tcW w:w="5116" w:type="dxa"/>
            <w:tcBorders>
              <w:top w:val="nil"/>
              <w:left w:val="nil"/>
              <w:bottom w:val="single" w:color="auto" w:sz="4" w:space="0"/>
              <w:right w:val="nil"/>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为广谱肿瘤标志物，可提示直肠癌、结肠癌、肺癌、乳腺癌、胰腺癌等。</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11</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前列腺特异抗原</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肿瘤标志物</w:t>
            </w:r>
          </w:p>
        </w:tc>
        <w:tc>
          <w:tcPr>
            <w:tcW w:w="5116" w:type="dxa"/>
            <w:tcBorders>
              <w:top w:val="nil"/>
              <w:left w:val="nil"/>
              <w:bottom w:val="single" w:color="auto" w:sz="4" w:space="0"/>
              <w:right w:val="nil"/>
            </w:tcBorders>
            <w:shd w:val="clear" w:color="000000" w:fill="BFBFBF"/>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前列腺的肿瘤标志物。</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12</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糖化血红蛋白</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HBA1C</w:t>
            </w:r>
          </w:p>
        </w:tc>
        <w:tc>
          <w:tcPr>
            <w:tcW w:w="5116" w:type="dxa"/>
            <w:tcBorders>
              <w:top w:val="nil"/>
              <w:left w:val="nil"/>
              <w:bottom w:val="single" w:color="auto" w:sz="4" w:space="0"/>
              <w:right w:val="nil"/>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可反映近期2-3个月血糖平均水平。</w:t>
            </w:r>
          </w:p>
        </w:tc>
      </w:tr>
      <w:tr>
        <w:tblPrEx>
          <w:tblLayout w:type="fixed"/>
          <w:tblCellMar>
            <w:top w:w="0" w:type="dxa"/>
            <w:left w:w="108" w:type="dxa"/>
            <w:bottom w:w="0" w:type="dxa"/>
            <w:right w:w="108" w:type="dxa"/>
          </w:tblCellMar>
        </w:tblPrEx>
        <w:trPr>
          <w:trHeight w:val="48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13</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同型半胱氨酸</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同型半胱氨酸</w:t>
            </w:r>
          </w:p>
        </w:tc>
        <w:tc>
          <w:tcPr>
            <w:tcW w:w="5116" w:type="dxa"/>
            <w:tcBorders>
              <w:top w:val="nil"/>
              <w:left w:val="nil"/>
              <w:bottom w:val="single" w:color="auto" w:sz="4" w:space="0"/>
              <w:right w:val="nil"/>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易患高血压、冠心病、动脉粥样硬化等疾病，现患病人与预后关系密切。</w:t>
            </w:r>
          </w:p>
        </w:tc>
      </w:tr>
      <w:tr>
        <w:tblPrEx>
          <w:tblLayout w:type="fixed"/>
          <w:tblCellMar>
            <w:top w:w="0" w:type="dxa"/>
            <w:left w:w="108" w:type="dxa"/>
            <w:bottom w:w="0" w:type="dxa"/>
            <w:right w:w="108" w:type="dxa"/>
          </w:tblCellMar>
        </w:tblPrEx>
        <w:trPr>
          <w:trHeight w:val="48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14</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低放射剂量X线胸片</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DR</w:t>
            </w:r>
          </w:p>
        </w:tc>
        <w:tc>
          <w:tcPr>
            <w:tcW w:w="5116" w:type="dxa"/>
            <w:tcBorders>
              <w:top w:val="nil"/>
              <w:left w:val="nil"/>
              <w:bottom w:val="single" w:color="auto" w:sz="4" w:space="0"/>
              <w:right w:val="nil"/>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有无肺炎、肺气肿、肺结核、肺癌及心脏、主动脉、纵膈、横膈疾病等。</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15</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肝、胆、脾、胰、肾</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彩超</w:t>
            </w:r>
          </w:p>
        </w:tc>
        <w:tc>
          <w:tcPr>
            <w:tcW w:w="5116"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各脏器有无形态学改变及占位性病变（肿瘤、结石、炎症）。</w:t>
            </w:r>
          </w:p>
        </w:tc>
      </w:tr>
      <w:tr>
        <w:tblPrEx>
          <w:tblLayout w:type="fixed"/>
          <w:tblCellMar>
            <w:top w:w="0" w:type="dxa"/>
            <w:left w:w="108" w:type="dxa"/>
            <w:bottom w:w="0" w:type="dxa"/>
            <w:right w:w="108" w:type="dxa"/>
          </w:tblCellMar>
        </w:tblPrEx>
        <w:trPr>
          <w:trHeight w:val="48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16</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甲状腺</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彩超</w:t>
            </w:r>
          </w:p>
        </w:tc>
        <w:tc>
          <w:tcPr>
            <w:tcW w:w="5116" w:type="dxa"/>
            <w:tcBorders>
              <w:top w:val="nil"/>
              <w:left w:val="nil"/>
              <w:bottom w:val="single" w:color="auto" w:sz="4" w:space="0"/>
              <w:right w:val="nil"/>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筛查甲亢、甲减、桥本氏甲状腺炎、甲状腺囊肿、结节、腺瘤等疾病。</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17</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数字化肝超</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精准测定肝脏纤维化程度和脂肪含量。实现了对肝脏健康的早筛查、早发现、早预防的目的</w:t>
            </w:r>
          </w:p>
        </w:tc>
      </w:tr>
      <w:tr>
        <w:tblPrEx>
          <w:tblLayout w:type="fixed"/>
          <w:tblCellMar>
            <w:top w:w="0" w:type="dxa"/>
            <w:left w:w="108" w:type="dxa"/>
            <w:bottom w:w="0" w:type="dxa"/>
            <w:right w:w="108" w:type="dxa"/>
          </w:tblCellMar>
        </w:tblPrEx>
        <w:trPr>
          <w:trHeight w:val="48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18</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眼底照相</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　</w:t>
            </w:r>
          </w:p>
        </w:tc>
        <w:tc>
          <w:tcPr>
            <w:tcW w:w="5116"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通过检查眼底血管及视网膜成像。对患有高血压、糖尿病及肾脏病的人群筛查眼底病变，正确评估眼底并发症的严重程度</w:t>
            </w:r>
          </w:p>
        </w:tc>
      </w:tr>
      <w:tr>
        <w:tblPrEx>
          <w:tblLayout w:type="fixed"/>
          <w:tblCellMar>
            <w:top w:w="0" w:type="dxa"/>
            <w:left w:w="108" w:type="dxa"/>
            <w:bottom w:w="0" w:type="dxa"/>
            <w:right w:w="108" w:type="dxa"/>
          </w:tblCellMar>
        </w:tblPrEx>
        <w:trPr>
          <w:trHeight w:val="63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19</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裂隙灯检查</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主要是对眼前节疾病的筛查，角膜，结膜，前房，虹膜，晶体，玻璃体</w:t>
            </w:r>
          </w:p>
        </w:tc>
        <w:tc>
          <w:tcPr>
            <w:tcW w:w="5116"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对眼前节疾病的筛查（如角结膜炎，干眼症，虹膜疾病，白内障等）疾病的发展程度的评估，指导临床诊疗疾病。</w:t>
            </w:r>
          </w:p>
        </w:tc>
      </w:tr>
      <w:tr>
        <w:tblPrEx>
          <w:tblLayout w:type="fixed"/>
          <w:tblCellMar>
            <w:top w:w="0" w:type="dxa"/>
            <w:left w:w="108" w:type="dxa"/>
            <w:bottom w:w="0" w:type="dxa"/>
            <w:right w:w="108" w:type="dxa"/>
          </w:tblCellMar>
        </w:tblPrEx>
        <w:trPr>
          <w:trHeight w:val="7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20</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呼气试验</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呼气试验</w:t>
            </w:r>
          </w:p>
        </w:tc>
        <w:tc>
          <w:tcPr>
            <w:tcW w:w="5116" w:type="dxa"/>
            <w:tcBorders>
              <w:top w:val="nil"/>
              <w:left w:val="nil"/>
              <w:bottom w:val="single" w:color="auto" w:sz="4" w:space="0"/>
              <w:right w:val="nil"/>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呼气试验是检测幽门螺杆菌（HP）的金标准，HP可引起多种胃病，包括胃炎、胃溃疡、十二指肠溃疡、非溃疡性消化不良、胃癌等。 （孕妇，儿童建议不选此项检查）</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21</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肺功能</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肺容积、通气、换气</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是测定气道阻力与气流速度的重要检查</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22</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静脉采血</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静脉采血</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含一次性采血针、真空管</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23</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个性化体检报告</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个性化体检报告</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由总检医师对所有单项检查结果进行综合判断后，并根据个人情况给予相关建议和指导，出具体检报告</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24</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早餐</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营养早餐</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免费为客人提供鸡蛋、粥、豆浆、时令蔬菜、包子等</w:t>
            </w:r>
          </w:p>
        </w:tc>
      </w:tr>
      <w:tr>
        <w:tblPrEx>
          <w:tblLayout w:type="fixed"/>
          <w:tblCellMar>
            <w:top w:w="0" w:type="dxa"/>
            <w:left w:w="108" w:type="dxa"/>
            <w:bottom w:w="0" w:type="dxa"/>
            <w:right w:w="108" w:type="dxa"/>
          </w:tblCellMar>
        </w:tblPrEx>
        <w:trPr>
          <w:trHeight w:val="270" w:hRule="atLeast"/>
        </w:trPr>
        <w:tc>
          <w:tcPr>
            <w:tcW w:w="522"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b/>
                <w:bCs/>
                <w:kern w:val="0"/>
                <w:szCs w:val="21"/>
              </w:rPr>
            </w:pPr>
          </w:p>
        </w:tc>
        <w:tc>
          <w:tcPr>
            <w:tcW w:w="1293"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c>
          <w:tcPr>
            <w:tcW w:w="2074"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c>
          <w:tcPr>
            <w:tcW w:w="5116"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b/>
                <w:bCs/>
                <w:kern w:val="0"/>
                <w:szCs w:val="21"/>
              </w:rPr>
            </w:pPr>
          </w:p>
        </w:tc>
        <w:tc>
          <w:tcPr>
            <w:tcW w:w="1293"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c>
          <w:tcPr>
            <w:tcW w:w="2074"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c>
          <w:tcPr>
            <w:tcW w:w="5116"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b/>
                <w:bCs/>
                <w:kern w:val="0"/>
                <w:szCs w:val="21"/>
              </w:rPr>
            </w:pPr>
          </w:p>
        </w:tc>
        <w:tc>
          <w:tcPr>
            <w:tcW w:w="1293"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c>
          <w:tcPr>
            <w:tcW w:w="2074"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p>
            <w:pPr>
              <w:widowControl/>
              <w:spacing w:line="276" w:lineRule="auto"/>
              <w:jc w:val="center"/>
              <w:rPr>
                <w:rFonts w:ascii="宋体" w:hAnsi="宋体" w:eastAsia="宋体" w:cs="宋体"/>
                <w:color w:val="000000"/>
                <w:kern w:val="0"/>
                <w:szCs w:val="21"/>
              </w:rPr>
            </w:pPr>
          </w:p>
          <w:p>
            <w:pPr>
              <w:widowControl/>
              <w:spacing w:line="276" w:lineRule="auto"/>
              <w:jc w:val="center"/>
              <w:rPr>
                <w:rFonts w:ascii="宋体" w:hAnsi="宋体" w:eastAsia="宋体" w:cs="宋体"/>
                <w:color w:val="000000"/>
                <w:kern w:val="0"/>
                <w:szCs w:val="21"/>
              </w:rPr>
            </w:pPr>
          </w:p>
        </w:tc>
        <w:tc>
          <w:tcPr>
            <w:tcW w:w="5116"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600" w:hRule="atLeast"/>
        </w:trPr>
        <w:tc>
          <w:tcPr>
            <w:tcW w:w="9005" w:type="dxa"/>
            <w:gridSpan w:val="4"/>
            <w:tcBorders>
              <w:top w:val="nil"/>
              <w:left w:val="nil"/>
              <w:bottom w:val="single" w:color="auto" w:sz="4" w:space="0"/>
              <w:right w:val="nil"/>
            </w:tcBorders>
            <w:shd w:val="clear" w:color="auto" w:fill="auto"/>
            <w:vAlign w:val="center"/>
          </w:tcPr>
          <w:p>
            <w:pPr>
              <w:widowControl/>
              <w:spacing w:line="276" w:lineRule="auto"/>
              <w:jc w:val="left"/>
              <w:rPr>
                <w:rFonts w:ascii="宋体" w:hAnsi="宋体" w:eastAsia="宋体" w:cs="宋体"/>
                <w:b/>
                <w:bCs/>
                <w:color w:val="003366"/>
                <w:kern w:val="0"/>
                <w:szCs w:val="21"/>
              </w:rPr>
            </w:pPr>
            <w:r>
              <w:rPr>
                <w:rFonts w:hint="eastAsia" w:ascii="宋体" w:hAnsi="宋体" w:eastAsia="宋体" w:cs="宋体"/>
                <w:b/>
                <w:bCs/>
                <w:color w:val="003366"/>
                <w:kern w:val="0"/>
                <w:szCs w:val="21"/>
              </w:rPr>
              <w:t>已婚女性、退休女性套餐</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编号</w:t>
            </w:r>
          </w:p>
        </w:tc>
        <w:tc>
          <w:tcPr>
            <w:tcW w:w="1293" w:type="dxa"/>
            <w:tcBorders>
              <w:top w:val="nil"/>
              <w:left w:val="nil"/>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项目</w:t>
            </w:r>
          </w:p>
        </w:tc>
        <w:tc>
          <w:tcPr>
            <w:tcW w:w="2074" w:type="dxa"/>
            <w:tcBorders>
              <w:top w:val="nil"/>
              <w:left w:val="nil"/>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检查内容</w:t>
            </w:r>
          </w:p>
        </w:tc>
        <w:tc>
          <w:tcPr>
            <w:tcW w:w="5116" w:type="dxa"/>
            <w:tcBorders>
              <w:top w:val="nil"/>
              <w:left w:val="nil"/>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意义</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nil"/>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w:t>
            </w:r>
          </w:p>
        </w:tc>
        <w:tc>
          <w:tcPr>
            <w:tcW w:w="1293" w:type="dxa"/>
            <w:tcBorders>
              <w:top w:val="nil"/>
              <w:left w:val="nil"/>
              <w:bottom w:val="nil"/>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一般项目</w:t>
            </w:r>
          </w:p>
        </w:tc>
        <w:tc>
          <w:tcPr>
            <w:tcW w:w="2074" w:type="dxa"/>
            <w:tcBorders>
              <w:top w:val="nil"/>
              <w:left w:val="nil"/>
              <w:bottom w:val="nil"/>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身高、体重、血压（BP）、脉搏（P）</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体重是否正常，有无体重不足、超重或肥胖；有无血压、脉搏异常等。</w:t>
            </w:r>
          </w:p>
        </w:tc>
      </w:tr>
      <w:tr>
        <w:tblPrEx>
          <w:tblLayout w:type="fixed"/>
          <w:tblCellMar>
            <w:top w:w="0" w:type="dxa"/>
            <w:left w:w="108" w:type="dxa"/>
            <w:bottom w:w="0" w:type="dxa"/>
            <w:right w:w="108" w:type="dxa"/>
          </w:tblCellMar>
        </w:tblPrEx>
        <w:trPr>
          <w:trHeight w:val="270" w:hRule="atLeast"/>
        </w:trPr>
        <w:tc>
          <w:tcPr>
            <w:tcW w:w="52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w:t>
            </w:r>
          </w:p>
        </w:tc>
        <w:tc>
          <w:tcPr>
            <w:tcW w:w="1293" w:type="dxa"/>
            <w:vMerge w:val="restart"/>
            <w:tcBorders>
              <w:top w:val="single" w:color="auto" w:sz="4" w:space="0"/>
              <w:left w:val="single" w:color="auto" w:sz="4" w:space="0"/>
              <w:bottom w:val="nil"/>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肝功能八项</w:t>
            </w:r>
          </w:p>
        </w:tc>
        <w:tc>
          <w:tcPr>
            <w:tcW w:w="2074" w:type="dxa"/>
            <w:tcBorders>
              <w:top w:val="single" w:color="auto" w:sz="4" w:space="0"/>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1.谷丙转氨酶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能敏感地反映肝细胞损伤与否及损伤程度。</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2.谷草转氨酶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主要反映的是肝脏损伤程度。</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3.总胆红素</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诊断是否有肝脏疾病或胆道是否发生异常。</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4.间接胆红素</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诊断是否有肝脏疾病或胆道是否发生异常。</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5.直接胆红素</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用于鉴别黄疸的类型。</w:t>
            </w:r>
          </w:p>
        </w:tc>
      </w:tr>
      <w:tr>
        <w:tblPrEx>
          <w:tblLayout w:type="fixed"/>
          <w:tblCellMar>
            <w:top w:w="0" w:type="dxa"/>
            <w:left w:w="108" w:type="dxa"/>
            <w:bottom w:w="0" w:type="dxa"/>
            <w:right w:w="108" w:type="dxa"/>
          </w:tblCellMar>
        </w:tblPrEx>
        <w:trPr>
          <w:trHeight w:val="48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6.碱性磷酸酶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主要用于阻塞性黄疸、原发性肝癌、继发性肝癌、胆汁淤积性肝炎等的检查。</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7.谷氨酰转肽酶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最常用于筛检肝脏机能障碍、肝硬化及酒精性肝损害。</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8.总蛋白</w:t>
            </w:r>
          </w:p>
        </w:tc>
        <w:tc>
          <w:tcPr>
            <w:tcW w:w="5116"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用于筛检肝脏机能障碍、肝硬化等</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9.白蛋白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10.球蛋白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11.白球比</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3</w:t>
            </w:r>
          </w:p>
        </w:tc>
        <w:tc>
          <w:tcPr>
            <w:tcW w:w="1293" w:type="dxa"/>
            <w:vMerge w:val="restart"/>
            <w:tcBorders>
              <w:top w:val="single" w:color="auto" w:sz="4" w:space="0"/>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肾功能三项</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1.尿酸</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可提示：高尿酸血症、痛风及肾脏功能损害等。</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2.肌酐</w:t>
            </w:r>
          </w:p>
        </w:tc>
        <w:tc>
          <w:tcPr>
            <w:tcW w:w="5116"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可提示有无肾功能损害：如慢性肾炎，肾盂肾炎，肾结核，尿毒症等。</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3.尿素氮</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4</w:t>
            </w:r>
          </w:p>
        </w:tc>
        <w:tc>
          <w:tcPr>
            <w:tcW w:w="1293"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血脂四项</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1.总胆固醇</w:t>
            </w:r>
          </w:p>
        </w:tc>
        <w:tc>
          <w:tcPr>
            <w:tcW w:w="5116"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血脂升高是导致高血压、冠心病、心肌梗塞、动脉粥样硬化的高度危险因素。</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2.甘油三脂</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3.高密度脂蛋白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4.低密度脂蛋白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5</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空腹血糖</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空腹血糖测定</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从血糖水平了解是否有低血糖、糖尿病.了解血糖控制情况等。</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6</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血常规</w:t>
            </w:r>
          </w:p>
        </w:tc>
        <w:tc>
          <w:tcPr>
            <w:tcW w:w="2074" w:type="dxa"/>
            <w:tcBorders>
              <w:top w:val="nil"/>
              <w:left w:val="nil"/>
              <w:bottom w:val="nil"/>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血常规22项检查</w:t>
            </w:r>
          </w:p>
        </w:tc>
        <w:tc>
          <w:tcPr>
            <w:tcW w:w="5116" w:type="dxa"/>
            <w:tcBorders>
              <w:top w:val="nil"/>
              <w:left w:val="nil"/>
              <w:bottom w:val="nil"/>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通过检测血液细胞的计数及不同种类细胞、成分的分类来反映身体状况，如：贫血、感染等等。</w:t>
            </w:r>
          </w:p>
        </w:tc>
      </w:tr>
      <w:tr>
        <w:tblPrEx>
          <w:tblLayout w:type="fixed"/>
          <w:tblCellMar>
            <w:top w:w="0" w:type="dxa"/>
            <w:left w:w="108" w:type="dxa"/>
            <w:bottom w:w="0" w:type="dxa"/>
            <w:right w:w="108" w:type="dxa"/>
          </w:tblCellMar>
        </w:tblPrEx>
        <w:trPr>
          <w:trHeight w:val="63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7</w:t>
            </w:r>
          </w:p>
        </w:tc>
        <w:tc>
          <w:tcPr>
            <w:tcW w:w="1293" w:type="dxa"/>
            <w:tcBorders>
              <w:top w:val="nil"/>
              <w:left w:val="nil"/>
              <w:bottom w:val="nil"/>
              <w:right w:val="nil"/>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尿常规</w:t>
            </w:r>
          </w:p>
        </w:tc>
        <w:tc>
          <w:tcPr>
            <w:tcW w:w="2074" w:type="dxa"/>
            <w:tcBorders>
              <w:top w:val="single" w:color="auto" w:sz="4" w:space="0"/>
              <w:left w:val="single" w:color="auto" w:sz="4" w:space="0"/>
              <w:bottom w:val="nil"/>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尿常规12项检查</w:t>
            </w:r>
          </w:p>
        </w:tc>
        <w:tc>
          <w:tcPr>
            <w:tcW w:w="5116" w:type="dxa"/>
            <w:tcBorders>
              <w:top w:val="single" w:color="auto" w:sz="4" w:space="0"/>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提示有无泌尿系统疾患：如急慢性肾炎，肾盂肾炎，膀胱炎，尿道炎，肾病综合征，狼疮性肾炎，血红蛋白尿，肾梗塞、肾小管重金属盐及药物导致急性肾小管坏死，以及有无尿糖等。</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8</w:t>
            </w:r>
          </w:p>
        </w:tc>
        <w:tc>
          <w:tcPr>
            <w:tcW w:w="1293" w:type="dxa"/>
            <w:tcBorders>
              <w:top w:val="single" w:color="auto" w:sz="4" w:space="0"/>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心电图</w:t>
            </w:r>
          </w:p>
        </w:tc>
        <w:tc>
          <w:tcPr>
            <w:tcW w:w="2074" w:type="dxa"/>
            <w:tcBorders>
              <w:top w:val="single" w:color="auto" w:sz="4" w:space="0"/>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常规心电图检查</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用于心律失常（如早搏、传导障碍等）、心肌缺血、心肌梗塞、心房、心室肥大等诊断。</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9</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甲胎蛋白</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肿瘤标志物</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可提示有无原发性肝癌，生殖腺胚胎性肿瘤，肝硬化等。</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10</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癌胚抗原</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肿瘤标志物</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为广谱肿瘤标志物，可提示直肠癌、结肠癌、肺癌、乳腺癌、胰腺癌等。</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11</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16排螺旋胸肺CT</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CT</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筛查早期肺癌、肺结核等疾病</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12</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肝、胆、脾、胰、肾</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彩超</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各脏器有无形态学改变及占位性病变（肿瘤、结石、炎症）。</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13</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子宫附件</w:t>
            </w:r>
          </w:p>
        </w:tc>
        <w:tc>
          <w:tcPr>
            <w:tcW w:w="2074" w:type="dxa"/>
            <w:tcBorders>
              <w:top w:val="nil"/>
              <w:left w:val="nil"/>
              <w:bottom w:val="single" w:color="auto" w:sz="4" w:space="0"/>
              <w:right w:val="nil"/>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彩超</w:t>
            </w:r>
          </w:p>
        </w:tc>
        <w:tc>
          <w:tcPr>
            <w:tcW w:w="5116" w:type="dxa"/>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检查子宫及附件是否有占位性病变和卵巢囊肿等。</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14</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甲状腺彩超</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彩超</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筛查甲亢、甲减、桥本氏甲状腺炎、甲状腺囊肿、结节、腺瘤等疾病。</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15</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乳腺彩超</w:t>
            </w:r>
          </w:p>
        </w:tc>
        <w:tc>
          <w:tcPr>
            <w:tcW w:w="2074" w:type="dxa"/>
            <w:tcBorders>
              <w:top w:val="nil"/>
              <w:left w:val="nil"/>
              <w:bottom w:val="single" w:color="auto" w:sz="4" w:space="0"/>
              <w:right w:val="nil"/>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乳房（双侧）</w:t>
            </w:r>
          </w:p>
        </w:tc>
        <w:tc>
          <w:tcPr>
            <w:tcW w:w="5116" w:type="dxa"/>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检查乳房是否有增生或乳房肿瘤等。</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16</w:t>
            </w:r>
          </w:p>
        </w:tc>
        <w:tc>
          <w:tcPr>
            <w:tcW w:w="1293" w:type="dxa"/>
            <w:tcBorders>
              <w:top w:val="single" w:color="000000" w:sz="4" w:space="0"/>
              <w:left w:val="nil"/>
              <w:bottom w:val="single" w:color="000000" w:sz="4" w:space="0"/>
              <w:right w:val="single" w:color="000000"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妇科常规检查</w:t>
            </w:r>
          </w:p>
        </w:tc>
        <w:tc>
          <w:tcPr>
            <w:tcW w:w="2074" w:type="dxa"/>
            <w:tcBorders>
              <w:top w:val="single" w:color="000000" w:sz="4" w:space="0"/>
              <w:left w:val="nil"/>
              <w:bottom w:val="single" w:color="000000" w:sz="4" w:space="0"/>
              <w:right w:val="nil"/>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妇科常规检查</w:t>
            </w:r>
          </w:p>
        </w:tc>
        <w:tc>
          <w:tcPr>
            <w:tcW w:w="5116" w:type="dxa"/>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女性外生殖器有无异常。</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17</w:t>
            </w:r>
          </w:p>
        </w:tc>
        <w:tc>
          <w:tcPr>
            <w:tcW w:w="1293" w:type="dxa"/>
            <w:tcBorders>
              <w:top w:val="nil"/>
              <w:left w:val="nil"/>
              <w:bottom w:val="single" w:color="000000" w:sz="4" w:space="0"/>
              <w:right w:val="single" w:color="000000"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白带常规</w:t>
            </w:r>
          </w:p>
        </w:tc>
        <w:tc>
          <w:tcPr>
            <w:tcW w:w="2074" w:type="dxa"/>
            <w:tcBorders>
              <w:top w:val="nil"/>
              <w:left w:val="nil"/>
              <w:bottom w:val="single" w:color="000000" w:sz="4" w:space="0"/>
              <w:right w:val="nil"/>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白带常规</w:t>
            </w:r>
          </w:p>
        </w:tc>
        <w:tc>
          <w:tcPr>
            <w:tcW w:w="5116" w:type="dxa"/>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有无宫颈及阴道感染。</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18</w:t>
            </w:r>
          </w:p>
        </w:tc>
        <w:tc>
          <w:tcPr>
            <w:tcW w:w="1293" w:type="dxa"/>
            <w:tcBorders>
              <w:top w:val="nil"/>
              <w:left w:val="nil"/>
              <w:bottom w:val="single" w:color="000000" w:sz="4" w:space="0"/>
              <w:right w:val="nil"/>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宫颈涂片检查</w:t>
            </w:r>
          </w:p>
        </w:tc>
        <w:tc>
          <w:tcPr>
            <w:tcW w:w="207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宫颈涂片检查</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宫颈癌筛查。</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19</w:t>
            </w:r>
          </w:p>
        </w:tc>
        <w:tc>
          <w:tcPr>
            <w:tcW w:w="1293" w:type="dxa"/>
            <w:tcBorders>
              <w:top w:val="single" w:color="auto" w:sz="4" w:space="0"/>
              <w:left w:val="nil"/>
              <w:bottom w:val="single" w:color="auto" w:sz="4" w:space="0"/>
              <w:right w:val="nil"/>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高危HPV分型</w:t>
            </w:r>
          </w:p>
        </w:tc>
        <w:tc>
          <w:tcPr>
            <w:tcW w:w="2074"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高危HPV分型</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宫颈癌高危因素筛查</w:t>
            </w:r>
          </w:p>
        </w:tc>
      </w:tr>
      <w:tr>
        <w:tblPrEx>
          <w:tblLayout w:type="fixed"/>
          <w:tblCellMar>
            <w:top w:w="0" w:type="dxa"/>
            <w:left w:w="108" w:type="dxa"/>
            <w:bottom w:w="0" w:type="dxa"/>
            <w:right w:w="108" w:type="dxa"/>
          </w:tblCellMar>
        </w:tblPrEx>
        <w:trPr>
          <w:trHeight w:val="48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20</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眼底照相</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　</w:t>
            </w:r>
          </w:p>
        </w:tc>
        <w:tc>
          <w:tcPr>
            <w:tcW w:w="5116"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通过检查眼底血管及视网膜成像。对患有高血压、糖尿病及肾脏病的人群筛查眼底病变，正确评估眼底并发症的严重程度</w:t>
            </w:r>
          </w:p>
        </w:tc>
      </w:tr>
      <w:tr>
        <w:tblPrEx>
          <w:tblLayout w:type="fixed"/>
          <w:tblCellMar>
            <w:top w:w="0" w:type="dxa"/>
            <w:left w:w="108" w:type="dxa"/>
            <w:bottom w:w="0" w:type="dxa"/>
            <w:right w:w="108" w:type="dxa"/>
          </w:tblCellMar>
        </w:tblPrEx>
        <w:trPr>
          <w:trHeight w:val="63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21</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裂隙灯检查</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主要是对眼前节疾病的筛查，角膜，结膜，前房，虹膜，晶体，玻璃体</w:t>
            </w:r>
          </w:p>
        </w:tc>
        <w:tc>
          <w:tcPr>
            <w:tcW w:w="5116"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对眼前节疾病的筛查（如角结膜炎，干眼症，虹膜疾病，白内障等）疾病的发展程度的评估，指导临床诊疗疾病。</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22</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数字化肝超</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精准测定肝脏纤维化程度和脂肪含量。实现了对肝脏健康的早筛查、早发现、早预防的目的</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23</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静脉采血</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静脉采血</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含一次性采血针、真空管</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24</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个性化体检报告</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个性化体检报告</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由总检医师对所有单项检查结果进行综合判断后，并根据个人情况给予相关建议和指导，出具体检报告</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25</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早餐</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营养早餐</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免费为客人提供鸡蛋、粥、豆浆、时令蔬菜、包子等</w:t>
            </w:r>
          </w:p>
        </w:tc>
      </w:tr>
      <w:tr>
        <w:tblPrEx>
          <w:tblLayout w:type="fixed"/>
          <w:tblCellMar>
            <w:top w:w="0" w:type="dxa"/>
            <w:left w:w="108" w:type="dxa"/>
            <w:bottom w:w="0" w:type="dxa"/>
            <w:right w:w="108" w:type="dxa"/>
          </w:tblCellMar>
        </w:tblPrEx>
        <w:trPr>
          <w:trHeight w:val="270" w:hRule="atLeast"/>
        </w:trPr>
        <w:tc>
          <w:tcPr>
            <w:tcW w:w="522"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b/>
                <w:bCs/>
                <w:kern w:val="0"/>
                <w:szCs w:val="21"/>
              </w:rPr>
            </w:pPr>
          </w:p>
        </w:tc>
        <w:tc>
          <w:tcPr>
            <w:tcW w:w="1293"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c>
          <w:tcPr>
            <w:tcW w:w="2074"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c>
          <w:tcPr>
            <w:tcW w:w="5116"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b/>
                <w:bCs/>
                <w:kern w:val="0"/>
                <w:szCs w:val="21"/>
              </w:rPr>
            </w:pPr>
          </w:p>
        </w:tc>
        <w:tc>
          <w:tcPr>
            <w:tcW w:w="1293"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c>
          <w:tcPr>
            <w:tcW w:w="2074" w:type="dxa"/>
            <w:tcBorders>
              <w:top w:val="nil"/>
              <w:left w:val="nil"/>
              <w:bottom w:val="nil"/>
              <w:right w:val="nil"/>
            </w:tcBorders>
            <w:shd w:val="clear" w:color="auto" w:fill="auto"/>
            <w:vAlign w:val="center"/>
          </w:tcPr>
          <w:p>
            <w:pPr>
              <w:widowControl/>
              <w:spacing w:line="276" w:lineRule="auto"/>
              <w:jc w:val="left"/>
              <w:rPr>
                <w:rFonts w:ascii="宋体" w:hAnsi="宋体" w:eastAsia="宋体" w:cs="宋体"/>
                <w:color w:val="000000"/>
                <w:kern w:val="0"/>
                <w:szCs w:val="21"/>
              </w:rPr>
            </w:pPr>
          </w:p>
          <w:p>
            <w:pPr>
              <w:widowControl/>
              <w:spacing w:line="276" w:lineRule="auto"/>
              <w:jc w:val="left"/>
              <w:rPr>
                <w:rFonts w:ascii="宋体" w:hAnsi="宋体" w:eastAsia="宋体" w:cs="宋体"/>
                <w:color w:val="000000"/>
                <w:kern w:val="0"/>
                <w:szCs w:val="21"/>
              </w:rPr>
            </w:pPr>
          </w:p>
          <w:p>
            <w:pPr>
              <w:widowControl/>
              <w:spacing w:line="276" w:lineRule="auto"/>
              <w:jc w:val="left"/>
              <w:rPr>
                <w:rFonts w:ascii="宋体" w:hAnsi="宋体" w:eastAsia="宋体" w:cs="宋体"/>
                <w:color w:val="000000"/>
                <w:kern w:val="0"/>
                <w:szCs w:val="21"/>
              </w:rPr>
            </w:pPr>
          </w:p>
          <w:p>
            <w:pPr>
              <w:widowControl/>
              <w:spacing w:line="276" w:lineRule="auto"/>
              <w:jc w:val="left"/>
              <w:rPr>
                <w:rFonts w:ascii="宋体" w:hAnsi="宋体" w:eastAsia="宋体" w:cs="宋体"/>
                <w:color w:val="000000"/>
                <w:kern w:val="0"/>
                <w:szCs w:val="21"/>
              </w:rPr>
            </w:pPr>
          </w:p>
          <w:p>
            <w:pPr>
              <w:widowControl/>
              <w:spacing w:line="276" w:lineRule="auto"/>
              <w:jc w:val="left"/>
              <w:rPr>
                <w:rFonts w:ascii="宋体" w:hAnsi="宋体" w:eastAsia="宋体" w:cs="宋体"/>
                <w:color w:val="000000"/>
                <w:kern w:val="0"/>
                <w:szCs w:val="21"/>
              </w:rPr>
            </w:pPr>
          </w:p>
          <w:p>
            <w:pPr>
              <w:widowControl/>
              <w:spacing w:line="276" w:lineRule="auto"/>
              <w:jc w:val="left"/>
              <w:rPr>
                <w:rFonts w:ascii="宋体" w:hAnsi="宋体" w:eastAsia="宋体" w:cs="宋体"/>
                <w:color w:val="000000"/>
                <w:kern w:val="0"/>
                <w:szCs w:val="21"/>
              </w:rPr>
            </w:pPr>
          </w:p>
          <w:p>
            <w:pPr>
              <w:widowControl/>
              <w:spacing w:line="276" w:lineRule="auto"/>
              <w:jc w:val="left"/>
              <w:rPr>
                <w:rFonts w:ascii="宋体" w:hAnsi="宋体" w:eastAsia="宋体" w:cs="宋体"/>
                <w:color w:val="000000"/>
                <w:kern w:val="0"/>
                <w:szCs w:val="21"/>
              </w:rPr>
            </w:pPr>
          </w:p>
        </w:tc>
        <w:tc>
          <w:tcPr>
            <w:tcW w:w="5116" w:type="dxa"/>
            <w:tcBorders>
              <w:top w:val="nil"/>
              <w:left w:val="nil"/>
              <w:bottom w:val="nil"/>
              <w:right w:val="nil"/>
            </w:tcBorders>
            <w:shd w:val="clear" w:color="auto" w:fill="auto"/>
            <w:vAlign w:val="center"/>
          </w:tcPr>
          <w:p>
            <w:pPr>
              <w:widowControl/>
              <w:spacing w:line="276" w:lineRule="auto"/>
              <w:jc w:val="center"/>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642" w:hRule="atLeast"/>
        </w:trPr>
        <w:tc>
          <w:tcPr>
            <w:tcW w:w="9005" w:type="dxa"/>
            <w:gridSpan w:val="4"/>
            <w:tcBorders>
              <w:top w:val="nil"/>
              <w:left w:val="nil"/>
              <w:bottom w:val="single" w:color="auto" w:sz="4" w:space="0"/>
              <w:right w:val="nil"/>
            </w:tcBorders>
            <w:shd w:val="clear" w:color="auto" w:fill="auto"/>
            <w:vAlign w:val="center"/>
          </w:tcPr>
          <w:p>
            <w:pPr>
              <w:widowControl/>
              <w:spacing w:line="276" w:lineRule="auto"/>
              <w:jc w:val="left"/>
              <w:rPr>
                <w:rFonts w:ascii="宋体" w:hAnsi="宋体" w:eastAsia="宋体" w:cs="宋体"/>
                <w:b/>
                <w:bCs/>
                <w:color w:val="003366"/>
                <w:kern w:val="0"/>
                <w:szCs w:val="21"/>
              </w:rPr>
            </w:pPr>
            <w:r>
              <w:rPr>
                <w:rFonts w:hint="eastAsia" w:ascii="宋体" w:hAnsi="宋体" w:eastAsia="宋体" w:cs="宋体"/>
                <w:b/>
                <w:bCs/>
                <w:color w:val="003366"/>
                <w:kern w:val="0"/>
                <w:szCs w:val="21"/>
              </w:rPr>
              <w:t>未婚女性套餐</w:t>
            </w:r>
          </w:p>
        </w:tc>
      </w:tr>
      <w:tr>
        <w:tblPrEx>
          <w:tblLayout w:type="fixed"/>
          <w:tblCellMar>
            <w:top w:w="0" w:type="dxa"/>
            <w:left w:w="108" w:type="dxa"/>
            <w:bottom w:w="0" w:type="dxa"/>
            <w:right w:w="108" w:type="dxa"/>
          </w:tblCellMar>
        </w:tblPrEx>
        <w:trPr>
          <w:trHeight w:val="375" w:hRule="atLeast"/>
        </w:trPr>
        <w:tc>
          <w:tcPr>
            <w:tcW w:w="522" w:type="dxa"/>
            <w:tcBorders>
              <w:top w:val="nil"/>
              <w:left w:val="single" w:color="auto" w:sz="4" w:space="0"/>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编号</w:t>
            </w:r>
          </w:p>
        </w:tc>
        <w:tc>
          <w:tcPr>
            <w:tcW w:w="1293" w:type="dxa"/>
            <w:tcBorders>
              <w:top w:val="nil"/>
              <w:left w:val="nil"/>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项目</w:t>
            </w:r>
          </w:p>
        </w:tc>
        <w:tc>
          <w:tcPr>
            <w:tcW w:w="2074" w:type="dxa"/>
            <w:tcBorders>
              <w:top w:val="nil"/>
              <w:left w:val="nil"/>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检查内容</w:t>
            </w:r>
          </w:p>
        </w:tc>
        <w:tc>
          <w:tcPr>
            <w:tcW w:w="5116" w:type="dxa"/>
            <w:tcBorders>
              <w:top w:val="nil"/>
              <w:left w:val="nil"/>
              <w:bottom w:val="single" w:color="auto" w:sz="4" w:space="0"/>
              <w:right w:val="single" w:color="auto" w:sz="4" w:space="0"/>
            </w:tcBorders>
            <w:shd w:val="clear" w:color="000000" w:fill="CCFFCC"/>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意义</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nil"/>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w:t>
            </w:r>
          </w:p>
        </w:tc>
        <w:tc>
          <w:tcPr>
            <w:tcW w:w="1293" w:type="dxa"/>
            <w:tcBorders>
              <w:top w:val="nil"/>
              <w:left w:val="nil"/>
              <w:bottom w:val="nil"/>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一般项目</w:t>
            </w:r>
          </w:p>
        </w:tc>
        <w:tc>
          <w:tcPr>
            <w:tcW w:w="2074" w:type="dxa"/>
            <w:tcBorders>
              <w:top w:val="nil"/>
              <w:left w:val="nil"/>
              <w:bottom w:val="nil"/>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身高、体重、血压（BP）、脉搏（P）</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体重是否正常，有无体重不足、超重或肥胖；有无血压、脉搏异常等。</w:t>
            </w:r>
          </w:p>
        </w:tc>
      </w:tr>
      <w:tr>
        <w:tblPrEx>
          <w:tblLayout w:type="fixed"/>
          <w:tblCellMar>
            <w:top w:w="0" w:type="dxa"/>
            <w:left w:w="108" w:type="dxa"/>
            <w:bottom w:w="0" w:type="dxa"/>
            <w:right w:w="108" w:type="dxa"/>
          </w:tblCellMar>
        </w:tblPrEx>
        <w:trPr>
          <w:trHeight w:val="270" w:hRule="atLeast"/>
        </w:trPr>
        <w:tc>
          <w:tcPr>
            <w:tcW w:w="52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w:t>
            </w:r>
          </w:p>
        </w:tc>
        <w:tc>
          <w:tcPr>
            <w:tcW w:w="1293" w:type="dxa"/>
            <w:vMerge w:val="restart"/>
            <w:tcBorders>
              <w:top w:val="single" w:color="auto" w:sz="4" w:space="0"/>
              <w:left w:val="single" w:color="auto" w:sz="4" w:space="0"/>
              <w:bottom w:val="nil"/>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肝功能八项</w:t>
            </w:r>
          </w:p>
        </w:tc>
        <w:tc>
          <w:tcPr>
            <w:tcW w:w="2074" w:type="dxa"/>
            <w:tcBorders>
              <w:top w:val="single" w:color="auto" w:sz="4" w:space="0"/>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1.谷丙转氨酶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能敏感地反映肝细胞损伤与否及损伤程度。</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2.谷草转氨酶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主要反映的是肝脏损伤程度。</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3.总胆红素</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诊断是否有肝脏疾病或胆道是否发生异常。</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4.间接胆红素</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诊断是否有肝脏疾病或胆道是否发生异常。</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5.直接胆红素</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用于鉴别黄疸的类型。</w:t>
            </w:r>
          </w:p>
        </w:tc>
      </w:tr>
      <w:tr>
        <w:tblPrEx>
          <w:tblLayout w:type="fixed"/>
          <w:tblCellMar>
            <w:top w:w="0" w:type="dxa"/>
            <w:left w:w="108" w:type="dxa"/>
            <w:bottom w:w="0" w:type="dxa"/>
            <w:right w:w="108" w:type="dxa"/>
          </w:tblCellMar>
        </w:tblPrEx>
        <w:trPr>
          <w:trHeight w:val="48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6.碱性磷酸酶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主要用于阻塞性黄疸、原发性肝癌、继发性肝癌、胆汁淤积性肝炎等的检查。</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7.谷氨酰转肽酶</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最常用于筛检肝脏机能障碍、肝硬化及酒精性肝损害。</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8.总蛋白</w:t>
            </w:r>
          </w:p>
        </w:tc>
        <w:tc>
          <w:tcPr>
            <w:tcW w:w="5116"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用于筛检肝脏机能障碍、肝硬化等</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9.白蛋白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10.球蛋白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nil"/>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11.白球比</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3</w:t>
            </w:r>
          </w:p>
        </w:tc>
        <w:tc>
          <w:tcPr>
            <w:tcW w:w="1293" w:type="dxa"/>
            <w:vMerge w:val="restart"/>
            <w:tcBorders>
              <w:top w:val="single" w:color="auto" w:sz="4" w:space="0"/>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肾功能三项</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1.尿酸</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可提示：高尿酸血症、痛风及肾脏功能损害等。</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2.肌酐</w:t>
            </w:r>
          </w:p>
        </w:tc>
        <w:tc>
          <w:tcPr>
            <w:tcW w:w="5116"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可提示有无肾功能损害：如慢性肾炎，肾盂肾炎，肾结核，尿毒症等。</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3.尿素氮</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4</w:t>
            </w:r>
          </w:p>
        </w:tc>
        <w:tc>
          <w:tcPr>
            <w:tcW w:w="1293"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血脂四项</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1.总胆固醇</w:t>
            </w:r>
          </w:p>
        </w:tc>
        <w:tc>
          <w:tcPr>
            <w:tcW w:w="5116" w:type="dxa"/>
            <w:vMerge w:val="restart"/>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血脂升高是导致高血压、冠心病、心肌梗塞、动脉粥样硬化的高度危险因素。</w:t>
            </w: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2.甘油三脂</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3.高密度脂蛋白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b/>
                <w:bCs/>
                <w:kern w:val="0"/>
                <w:szCs w:val="21"/>
              </w:rPr>
            </w:pPr>
          </w:p>
        </w:tc>
        <w:tc>
          <w:tcPr>
            <w:tcW w:w="1293"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4.低密度脂蛋白</w:t>
            </w:r>
          </w:p>
        </w:tc>
        <w:tc>
          <w:tcPr>
            <w:tcW w:w="5116"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color w:val="000000"/>
                <w:kern w:val="0"/>
                <w:szCs w:val="21"/>
              </w:rPr>
            </w:pP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5</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空腹血糖</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空腹血糖测定</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从血糖水平了解是否有低血糖、糖尿病.了解血糖控制情况等。</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6</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血常规</w:t>
            </w:r>
          </w:p>
        </w:tc>
        <w:tc>
          <w:tcPr>
            <w:tcW w:w="2074" w:type="dxa"/>
            <w:tcBorders>
              <w:top w:val="nil"/>
              <w:left w:val="nil"/>
              <w:bottom w:val="nil"/>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血常规22项检查</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通过检测血液细胞的计数及不同种类细胞、成分的分类来反映身体状况，如：贫血、感染等等。</w:t>
            </w:r>
          </w:p>
        </w:tc>
      </w:tr>
      <w:tr>
        <w:tblPrEx>
          <w:tblLayout w:type="fixed"/>
          <w:tblCellMar>
            <w:top w:w="0" w:type="dxa"/>
            <w:left w:w="108" w:type="dxa"/>
            <w:bottom w:w="0" w:type="dxa"/>
            <w:right w:w="108" w:type="dxa"/>
          </w:tblCellMar>
        </w:tblPrEx>
        <w:trPr>
          <w:trHeight w:val="63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7</w:t>
            </w:r>
          </w:p>
        </w:tc>
        <w:tc>
          <w:tcPr>
            <w:tcW w:w="1293" w:type="dxa"/>
            <w:tcBorders>
              <w:top w:val="nil"/>
              <w:left w:val="nil"/>
              <w:bottom w:val="nil"/>
              <w:right w:val="nil"/>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尿常规</w:t>
            </w:r>
          </w:p>
        </w:tc>
        <w:tc>
          <w:tcPr>
            <w:tcW w:w="2074" w:type="dxa"/>
            <w:tcBorders>
              <w:top w:val="single" w:color="auto" w:sz="4" w:space="0"/>
              <w:left w:val="single" w:color="auto" w:sz="4" w:space="0"/>
              <w:bottom w:val="nil"/>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尿常规12项检查</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提示有无泌尿系统疾患：如急慢性肾炎，肾盂肾炎，膀胱炎，尿道炎，肾病综合征，狼疮性肾炎，血红蛋白尿，肾梗塞、肾小管重金属盐及药物导致急性肾小管坏死，以及有无尿糖等。</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8</w:t>
            </w:r>
          </w:p>
        </w:tc>
        <w:tc>
          <w:tcPr>
            <w:tcW w:w="1293" w:type="dxa"/>
            <w:tcBorders>
              <w:top w:val="single" w:color="auto" w:sz="4" w:space="0"/>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心电图</w:t>
            </w:r>
          </w:p>
        </w:tc>
        <w:tc>
          <w:tcPr>
            <w:tcW w:w="2074" w:type="dxa"/>
            <w:tcBorders>
              <w:top w:val="single" w:color="auto" w:sz="4" w:space="0"/>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常规心电图检查</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用于心律失常（如早搏、传导障碍等）、心肌缺血、心肌梗塞、心房、心室肥大等诊断。</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9</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甲胎蛋白</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肿瘤标志物</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可提示有无原发性肝癌，生殖腺胚胎性肿瘤，肝硬化等。</w:t>
            </w:r>
          </w:p>
        </w:tc>
      </w:tr>
      <w:tr>
        <w:tblPrEx>
          <w:tblLayout w:type="fixed"/>
          <w:tblCellMar>
            <w:top w:w="0" w:type="dxa"/>
            <w:left w:w="108" w:type="dxa"/>
            <w:bottom w:w="0" w:type="dxa"/>
            <w:right w:w="108" w:type="dxa"/>
          </w:tblCellMar>
        </w:tblPrEx>
        <w:trPr>
          <w:trHeight w:val="48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10</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癌胚抗原</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肿瘤标志物</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为广谱肿瘤标志物，可提示直肠癌、结肠癌、肺癌、乳腺癌、胰腺癌等。</w:t>
            </w:r>
          </w:p>
        </w:tc>
      </w:tr>
      <w:tr>
        <w:tblPrEx>
          <w:tblLayout w:type="fixed"/>
          <w:tblCellMar>
            <w:top w:w="0" w:type="dxa"/>
            <w:left w:w="108" w:type="dxa"/>
            <w:bottom w:w="0" w:type="dxa"/>
            <w:right w:w="108" w:type="dxa"/>
          </w:tblCellMar>
        </w:tblPrEx>
        <w:trPr>
          <w:trHeight w:val="48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11</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低放射剂量X线胸片</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DR</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有无肺炎、肺气肿、肺结核、肺癌及心脏、主动脉、纵膈、横膈疾病等。</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12</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肝、胆、脾、胰、肾</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彩超</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各脏器有无形态学改变及占位性病变（肿瘤、结石、炎症）。</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13</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子宫附件</w:t>
            </w:r>
          </w:p>
        </w:tc>
        <w:tc>
          <w:tcPr>
            <w:tcW w:w="2074" w:type="dxa"/>
            <w:tcBorders>
              <w:top w:val="nil"/>
              <w:left w:val="nil"/>
              <w:bottom w:val="single" w:color="auto" w:sz="4" w:space="0"/>
              <w:right w:val="nil"/>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彩超</w:t>
            </w:r>
          </w:p>
        </w:tc>
        <w:tc>
          <w:tcPr>
            <w:tcW w:w="5116" w:type="dxa"/>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检查子宫及附件是否有占位性病变和卵巢囊肿等。</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14</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甲状腺彩超</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彩超</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筛查甲亢、甲减、桥本氏甲状腺炎、甲状腺囊肿、结节、腺瘤等疾病。</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15</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乳腺彩超</w:t>
            </w:r>
          </w:p>
        </w:tc>
        <w:tc>
          <w:tcPr>
            <w:tcW w:w="2074" w:type="dxa"/>
            <w:tcBorders>
              <w:top w:val="nil"/>
              <w:left w:val="nil"/>
              <w:bottom w:val="single" w:color="auto" w:sz="4" w:space="0"/>
              <w:right w:val="nil"/>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乳房（双侧）</w:t>
            </w:r>
          </w:p>
        </w:tc>
        <w:tc>
          <w:tcPr>
            <w:tcW w:w="5116" w:type="dxa"/>
            <w:tcBorders>
              <w:top w:val="nil"/>
              <w:left w:val="single" w:color="auto" w:sz="4" w:space="0"/>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检查乳房是否有增生或乳房肿瘤等。</w:t>
            </w:r>
          </w:p>
        </w:tc>
      </w:tr>
      <w:tr>
        <w:tblPrEx>
          <w:tblLayout w:type="fixed"/>
          <w:tblCellMar>
            <w:top w:w="0" w:type="dxa"/>
            <w:left w:w="108" w:type="dxa"/>
            <w:bottom w:w="0" w:type="dxa"/>
            <w:right w:w="108" w:type="dxa"/>
          </w:tblCellMar>
        </w:tblPrEx>
        <w:trPr>
          <w:trHeight w:val="48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16</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眼底照相</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　</w:t>
            </w:r>
          </w:p>
        </w:tc>
        <w:tc>
          <w:tcPr>
            <w:tcW w:w="5116"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通过检查眼底血管及视网膜成像。对患有高血压、糖尿病及肾脏病的人群筛查眼底病变，正确评估眼底并发症的严重程度</w:t>
            </w:r>
          </w:p>
        </w:tc>
      </w:tr>
      <w:tr>
        <w:tblPrEx>
          <w:tblLayout w:type="fixed"/>
          <w:tblCellMar>
            <w:top w:w="0" w:type="dxa"/>
            <w:left w:w="108" w:type="dxa"/>
            <w:bottom w:w="0" w:type="dxa"/>
            <w:right w:w="108" w:type="dxa"/>
          </w:tblCellMar>
        </w:tblPrEx>
        <w:trPr>
          <w:trHeight w:val="63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17</w:t>
            </w:r>
          </w:p>
        </w:tc>
        <w:tc>
          <w:tcPr>
            <w:tcW w:w="1293"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裂隙灯检查</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主要是对眼前节疾病的筛查，角膜，结膜，前房，虹膜，晶体，玻璃体</w:t>
            </w:r>
          </w:p>
        </w:tc>
        <w:tc>
          <w:tcPr>
            <w:tcW w:w="5116" w:type="dxa"/>
            <w:tcBorders>
              <w:top w:val="nil"/>
              <w:left w:val="nil"/>
              <w:bottom w:val="single" w:color="auto" w:sz="4" w:space="0"/>
              <w:right w:val="single" w:color="auto" w:sz="4" w:space="0"/>
            </w:tcBorders>
            <w:shd w:val="clear" w:color="000000" w:fill="BFBFBF"/>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对眼前节疾病的筛查（如角结膜炎，干眼症，虹膜疾病，白内障等）疾病的发展程度的评估，指导临床诊疗疾病。</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18</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数字化肝超</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精准测定肝脏纤维化程度和脂肪含量。实现了对肝脏健康的早筛查、早发现、早预防的目的</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19</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静脉采血</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静脉采血</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含一次性采血针、真空管</w:t>
            </w:r>
          </w:p>
        </w:tc>
      </w:tr>
      <w:tr>
        <w:tblPrEx>
          <w:tblLayout w:type="fixed"/>
          <w:tblCellMar>
            <w:top w:w="0" w:type="dxa"/>
            <w:left w:w="108" w:type="dxa"/>
            <w:bottom w:w="0" w:type="dxa"/>
            <w:right w:w="108" w:type="dxa"/>
          </w:tblCellMar>
        </w:tblPrEx>
        <w:trPr>
          <w:trHeight w:val="42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20</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个性化体检报告</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个性化体检报告</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kern w:val="0"/>
                <w:szCs w:val="21"/>
              </w:rPr>
            </w:pPr>
            <w:r>
              <w:rPr>
                <w:rFonts w:hint="eastAsia" w:ascii="宋体" w:hAnsi="宋体" w:eastAsia="宋体" w:cs="宋体"/>
                <w:kern w:val="0"/>
                <w:szCs w:val="21"/>
              </w:rPr>
              <w:t>由总检医师对所有单项检查结果进行综合判断后，并根据个人情况给予相关建议和指导，出具体检报告</w:t>
            </w:r>
          </w:p>
        </w:tc>
      </w:tr>
      <w:tr>
        <w:tblPrEx>
          <w:tblLayout w:type="fixed"/>
          <w:tblCellMar>
            <w:top w:w="0" w:type="dxa"/>
            <w:left w:w="108" w:type="dxa"/>
            <w:bottom w:w="0" w:type="dxa"/>
            <w:right w:w="108" w:type="dxa"/>
          </w:tblCellMar>
        </w:tblPrEx>
        <w:trPr>
          <w:trHeight w:val="270" w:hRule="atLeast"/>
        </w:trPr>
        <w:tc>
          <w:tcPr>
            <w:tcW w:w="522" w:type="dxa"/>
            <w:tcBorders>
              <w:top w:val="nil"/>
              <w:left w:val="single" w:color="auto" w:sz="4" w:space="0"/>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b/>
                <w:bCs/>
                <w:kern w:val="0"/>
                <w:szCs w:val="21"/>
              </w:rPr>
            </w:pPr>
            <w:r>
              <w:rPr>
                <w:rFonts w:hint="eastAsia" w:ascii="宋体" w:hAnsi="宋体" w:eastAsia="宋体" w:cs="宋体"/>
                <w:b/>
                <w:bCs/>
                <w:kern w:val="0"/>
                <w:szCs w:val="21"/>
              </w:rPr>
              <w:t>21</w:t>
            </w:r>
          </w:p>
        </w:tc>
        <w:tc>
          <w:tcPr>
            <w:tcW w:w="1293"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早餐</w:t>
            </w:r>
          </w:p>
        </w:tc>
        <w:tc>
          <w:tcPr>
            <w:tcW w:w="2074" w:type="dxa"/>
            <w:tcBorders>
              <w:top w:val="nil"/>
              <w:left w:val="nil"/>
              <w:bottom w:val="single" w:color="auto" w:sz="4" w:space="0"/>
              <w:right w:val="single" w:color="auto" w:sz="4" w:space="0"/>
            </w:tcBorders>
            <w:shd w:val="clear" w:color="auto" w:fill="auto"/>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营养早餐</w:t>
            </w:r>
          </w:p>
        </w:tc>
        <w:tc>
          <w:tcPr>
            <w:tcW w:w="5116" w:type="dxa"/>
            <w:tcBorders>
              <w:top w:val="nil"/>
              <w:left w:val="nil"/>
              <w:bottom w:val="single" w:color="auto" w:sz="4" w:space="0"/>
              <w:right w:val="single" w:color="auto" w:sz="4" w:space="0"/>
            </w:tcBorders>
            <w:shd w:val="clear" w:color="000000" w:fill="C0C0C0"/>
            <w:vAlign w:val="center"/>
          </w:tcPr>
          <w:p>
            <w:pPr>
              <w:widowControl/>
              <w:spacing w:line="276"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免费为客人提供鸡蛋、粥、豆浆、时令蔬菜、包子等</w:t>
            </w:r>
          </w:p>
        </w:tc>
      </w:tr>
    </w:tbl>
    <w:p>
      <w:pPr>
        <w:adjustRightInd w:val="0"/>
        <w:snapToGrid w:val="0"/>
        <w:spacing w:before="120" w:after="40" w:line="360" w:lineRule="auto"/>
        <w:ind w:firstLine="480" w:firstLineChars="200"/>
        <w:rPr>
          <w:rFonts w:ascii="宋体" w:hAnsi="宋体" w:eastAsia="宋体"/>
          <w:sz w:val="24"/>
          <w:szCs w:val="28"/>
        </w:rPr>
      </w:pPr>
    </w:p>
    <w:p>
      <w:pPr>
        <w:adjustRightInd w:val="0"/>
        <w:snapToGrid w:val="0"/>
        <w:spacing w:before="120" w:after="40" w:line="360" w:lineRule="auto"/>
        <w:ind w:firstLine="482" w:firstLineChars="200"/>
        <w:rPr>
          <w:rFonts w:ascii="宋体" w:hAnsi="宋体" w:eastAsia="宋体"/>
          <w:b/>
          <w:sz w:val="24"/>
          <w:szCs w:val="28"/>
        </w:rPr>
      </w:pPr>
      <w:r>
        <w:rPr>
          <w:rFonts w:hint="eastAsia" w:ascii="宋体" w:hAnsi="宋体" w:eastAsia="宋体"/>
          <w:b/>
          <w:sz w:val="24"/>
          <w:szCs w:val="28"/>
        </w:rPr>
        <w:t>注：体检套餐可增加检查项目，但以上内容不可删减。</w:t>
      </w:r>
    </w:p>
    <w:p>
      <w:pPr>
        <w:adjustRightInd w:val="0"/>
        <w:snapToGrid w:val="0"/>
        <w:spacing w:before="120" w:after="40" w:line="360" w:lineRule="auto"/>
        <w:ind w:firstLine="480" w:firstLineChars="200"/>
        <w:rPr>
          <w:rFonts w:ascii="宋体" w:hAnsi="宋体" w:eastAsia="宋体"/>
          <w:sz w:val="24"/>
          <w:szCs w:val="28"/>
        </w:rPr>
      </w:pPr>
    </w:p>
    <w:p>
      <w:pPr>
        <w:adjustRightInd w:val="0"/>
        <w:snapToGrid w:val="0"/>
        <w:spacing w:before="120" w:after="40" w:line="360" w:lineRule="auto"/>
        <w:ind w:firstLine="480" w:firstLineChars="200"/>
        <w:rPr>
          <w:rFonts w:ascii="宋体" w:hAnsi="宋体" w:eastAsia="宋体"/>
          <w:sz w:val="24"/>
          <w:szCs w:val="28"/>
        </w:rPr>
      </w:pPr>
      <w:r>
        <w:rPr>
          <w:rFonts w:hint="eastAsia" w:ascii="宋体" w:hAnsi="宋体" w:eastAsia="宋体"/>
          <w:sz w:val="24"/>
          <w:szCs w:val="28"/>
        </w:rPr>
        <w:t>供应商确保在合同服务期限内（含双休日），为许昌市分行所有需要体检的员工完成体检。</w:t>
      </w:r>
    </w:p>
    <w:p>
      <w:pPr>
        <w:adjustRightInd w:val="0"/>
        <w:snapToGrid w:val="0"/>
        <w:spacing w:before="120" w:after="40" w:line="360" w:lineRule="auto"/>
        <w:ind w:firstLine="480" w:firstLineChars="200"/>
        <w:rPr>
          <w:rFonts w:ascii="宋体" w:hAnsi="宋体" w:eastAsia="宋体"/>
          <w:sz w:val="24"/>
          <w:szCs w:val="28"/>
        </w:rPr>
      </w:pPr>
      <w:r>
        <w:rPr>
          <w:rFonts w:hint="eastAsia" w:ascii="宋体" w:hAnsi="宋体" w:eastAsia="宋体"/>
          <w:sz w:val="24"/>
          <w:szCs w:val="28"/>
        </w:rPr>
        <w:t>在体检结束后一个月以内，向许昌市分行员工提供体检报告，具体内容包括各分类统计报告和总体统计报告，体检员工有异常者及时通知单位联系人。</w:t>
      </w:r>
    </w:p>
    <w:p>
      <w:pPr>
        <w:widowControl/>
        <w:shd w:val="clear" w:color="auto" w:fill="FFFFFF"/>
        <w:spacing w:line="360" w:lineRule="auto"/>
        <w:contextualSpacing/>
        <w:jc w:val="left"/>
        <w:rPr>
          <w:rFonts w:ascii="宋体" w:hAnsi="宋体" w:eastAsia="宋体"/>
          <w:b/>
          <w:sz w:val="24"/>
          <w:szCs w:val="28"/>
        </w:rPr>
      </w:pPr>
      <w:r>
        <w:rPr>
          <w:rFonts w:hint="eastAsia" w:ascii="宋体" w:hAnsi="宋体" w:eastAsia="宋体"/>
          <w:b/>
          <w:sz w:val="24"/>
          <w:szCs w:val="28"/>
        </w:rPr>
        <w:t>三、验收标准</w:t>
      </w:r>
    </w:p>
    <w:p>
      <w:pPr>
        <w:widowControl/>
        <w:shd w:val="clear" w:color="auto" w:fill="FFFFFF"/>
        <w:spacing w:line="360" w:lineRule="auto"/>
        <w:ind w:firstLine="480" w:firstLineChars="200"/>
        <w:contextualSpacing/>
        <w:jc w:val="left"/>
        <w:rPr>
          <w:rFonts w:ascii="宋体" w:hAnsi="宋体" w:eastAsia="宋体"/>
          <w:sz w:val="24"/>
          <w:szCs w:val="28"/>
        </w:rPr>
      </w:pPr>
      <w:r>
        <w:rPr>
          <w:rFonts w:hint="eastAsia" w:ascii="宋体" w:hAnsi="宋体" w:eastAsia="宋体"/>
          <w:sz w:val="24"/>
          <w:szCs w:val="28"/>
        </w:rPr>
        <w:t>由采购人成立验收小组,按照采购合同的约定对成交人履约情况进行验收。验收时,按照采购合同的约定对本项目服务的履约情况进行确认。验收结束后,出具验收通过验收书,列明验收情况及项目总体评价,由验收双方共同签署。</w:t>
      </w:r>
    </w:p>
    <w:p>
      <w:pPr>
        <w:spacing w:line="360" w:lineRule="auto"/>
        <w:ind w:firstLine="482" w:firstLineChars="200"/>
        <w:rPr>
          <w:rFonts w:ascii="宋体" w:hAnsi="宋体" w:eastAsia="宋体"/>
          <w:bCs/>
          <w:sz w:val="24"/>
          <w:szCs w:val="28"/>
        </w:rPr>
      </w:pPr>
      <w:r>
        <w:rPr>
          <w:rFonts w:hint="eastAsia" w:ascii="宋体" w:hAnsi="宋体" w:eastAsia="宋体" w:cs="宋体"/>
          <w:b/>
          <w:kern w:val="0"/>
          <w:sz w:val="24"/>
          <w:szCs w:val="28"/>
          <w:lang w:val="zh-CN"/>
        </w:rPr>
        <w:t>四、本项目预算金额：</w:t>
      </w:r>
      <w:r>
        <w:rPr>
          <w:rFonts w:ascii="宋体" w:hAnsi="宋体" w:eastAsia="宋体"/>
          <w:bCs/>
          <w:sz w:val="24"/>
          <w:szCs w:val="28"/>
        </w:rPr>
        <w:t>49.4505</w:t>
      </w:r>
      <w:r>
        <w:rPr>
          <w:rFonts w:hint="eastAsia" w:ascii="宋体" w:hAnsi="宋体" w:eastAsia="宋体"/>
          <w:bCs/>
          <w:sz w:val="24"/>
          <w:szCs w:val="28"/>
        </w:rPr>
        <w:t>万元，最高限价：</w:t>
      </w:r>
      <w:r>
        <w:rPr>
          <w:rFonts w:ascii="宋体" w:hAnsi="宋体" w:eastAsia="宋体"/>
          <w:bCs/>
          <w:sz w:val="24"/>
          <w:szCs w:val="28"/>
        </w:rPr>
        <w:t>49.4505</w:t>
      </w:r>
      <w:r>
        <w:rPr>
          <w:rFonts w:hint="eastAsia" w:ascii="宋体" w:hAnsi="宋体" w:eastAsia="宋体"/>
          <w:bCs/>
          <w:sz w:val="24"/>
          <w:szCs w:val="28"/>
        </w:rPr>
        <w:t>万元。</w:t>
      </w:r>
      <w:r>
        <w:rPr>
          <w:rFonts w:hint="eastAsia" w:ascii="宋体" w:hAnsi="宋体" w:eastAsia="宋体"/>
          <w:b/>
          <w:sz w:val="24"/>
          <w:szCs w:val="28"/>
        </w:rPr>
        <w:t>超出最高限价的投标无效。</w:t>
      </w:r>
    </w:p>
    <w:p>
      <w:pPr>
        <w:widowControl/>
        <w:shd w:val="clear" w:color="auto" w:fill="FFFFFF"/>
        <w:spacing w:line="360" w:lineRule="auto"/>
        <w:contextualSpacing/>
        <w:jc w:val="left"/>
        <w:rPr>
          <w:rFonts w:ascii="宋体" w:hAnsi="宋体" w:eastAsia="宋体" w:cs="宋体"/>
          <w:b/>
          <w:kern w:val="0"/>
          <w:sz w:val="24"/>
          <w:szCs w:val="28"/>
          <w:lang w:val="zh-CN"/>
        </w:rPr>
      </w:pPr>
      <w:r>
        <w:rPr>
          <w:rFonts w:hint="eastAsia" w:ascii="宋体" w:hAnsi="宋体" w:eastAsia="宋体" w:cs="宋体"/>
          <w:b/>
          <w:kern w:val="0"/>
          <w:sz w:val="24"/>
          <w:szCs w:val="28"/>
          <w:lang w:val="zh-CN"/>
        </w:rPr>
        <w:t>五、资金支付</w:t>
      </w:r>
    </w:p>
    <w:p>
      <w:pPr>
        <w:widowControl/>
        <w:shd w:val="clear" w:color="auto" w:fill="FFFFFF"/>
        <w:spacing w:line="360" w:lineRule="auto"/>
        <w:ind w:firstLine="480" w:firstLineChars="200"/>
        <w:contextualSpacing/>
        <w:rPr>
          <w:rFonts w:ascii="宋体" w:hAnsi="宋体" w:eastAsia="宋体"/>
          <w:sz w:val="24"/>
          <w:szCs w:val="28"/>
        </w:rPr>
      </w:pPr>
      <w:r>
        <w:rPr>
          <w:rFonts w:hint="eastAsia" w:ascii="宋体" w:hAnsi="宋体" w:eastAsia="宋体"/>
          <w:sz w:val="24"/>
          <w:szCs w:val="28"/>
        </w:rPr>
        <w:t>1、支付方式：银行转账</w:t>
      </w:r>
    </w:p>
    <w:p>
      <w:pPr>
        <w:widowControl/>
        <w:shd w:val="clear" w:color="auto" w:fill="FFFFFF"/>
        <w:spacing w:line="360" w:lineRule="auto"/>
        <w:ind w:firstLine="480" w:firstLineChars="200"/>
        <w:contextualSpacing/>
        <w:rPr>
          <w:rFonts w:ascii="宋体" w:hAnsi="宋体" w:eastAsia="宋体"/>
          <w:sz w:val="24"/>
          <w:szCs w:val="28"/>
        </w:rPr>
      </w:pPr>
      <w:r>
        <w:rPr>
          <w:rFonts w:hint="eastAsia" w:ascii="宋体" w:hAnsi="宋体" w:eastAsia="宋体"/>
          <w:sz w:val="24"/>
          <w:szCs w:val="28"/>
        </w:rPr>
        <w:t>2、支付时间及条件：</w:t>
      </w:r>
    </w:p>
    <w:p>
      <w:pPr>
        <w:widowControl/>
        <w:shd w:val="clear" w:color="auto" w:fill="FFFFFF"/>
        <w:spacing w:line="360" w:lineRule="auto"/>
        <w:ind w:firstLine="480" w:firstLineChars="200"/>
        <w:contextualSpacing/>
        <w:rPr>
          <w:rFonts w:ascii="宋体" w:hAnsi="宋体" w:eastAsia="宋体"/>
          <w:sz w:val="24"/>
          <w:szCs w:val="28"/>
        </w:rPr>
      </w:pPr>
      <w:r>
        <w:rPr>
          <w:rFonts w:hint="eastAsia" w:ascii="宋体" w:hAnsi="宋体" w:eastAsia="宋体"/>
          <w:sz w:val="24"/>
          <w:szCs w:val="28"/>
        </w:rPr>
        <w:t>验收合格后一次性支付，成交供应商在中国邮政储蓄银行股份有限公司许昌市分行开设结算账户。</w:t>
      </w:r>
    </w:p>
    <w:p>
      <w:pPr>
        <w:widowControl/>
        <w:shd w:val="clear" w:color="auto" w:fill="FFFFFF"/>
        <w:spacing w:line="360" w:lineRule="auto"/>
        <w:contextualSpacing/>
        <w:jc w:val="left"/>
        <w:rPr>
          <w:rFonts w:ascii="宋体" w:hAnsi="宋体" w:eastAsia="宋体" w:cs="宋体"/>
          <w:b/>
          <w:kern w:val="0"/>
          <w:sz w:val="24"/>
          <w:szCs w:val="28"/>
          <w:lang w:val="zh-CN"/>
        </w:rPr>
      </w:pPr>
      <w:r>
        <w:rPr>
          <w:rFonts w:hint="eastAsia" w:ascii="宋体" w:hAnsi="宋体" w:eastAsia="宋体" w:cs="宋体"/>
          <w:b/>
          <w:kern w:val="0"/>
          <w:sz w:val="24"/>
          <w:szCs w:val="28"/>
          <w:lang w:val="zh-CN"/>
        </w:rPr>
        <w:t>六、其它要求</w:t>
      </w:r>
    </w:p>
    <w:p>
      <w:pPr>
        <w:wordWrap w:val="0"/>
        <w:topLinePunct/>
        <w:autoSpaceDE w:val="0"/>
        <w:autoSpaceDN w:val="0"/>
        <w:adjustRightInd w:val="0"/>
        <w:spacing w:line="360" w:lineRule="auto"/>
        <w:ind w:firstLine="482"/>
        <w:rPr>
          <w:rFonts w:ascii="宋体" w:hAnsi="宋体" w:eastAsia="宋体"/>
          <w:sz w:val="24"/>
          <w:szCs w:val="28"/>
        </w:rPr>
      </w:pPr>
      <w:r>
        <w:rPr>
          <w:rFonts w:hint="eastAsia" w:ascii="宋体" w:hAnsi="宋体" w:eastAsia="宋体"/>
          <w:sz w:val="24"/>
          <w:szCs w:val="28"/>
        </w:rPr>
        <w:t>1、投标人应就该项目完整投标，否则为无效投标。</w:t>
      </w:r>
    </w:p>
    <w:p>
      <w:pPr>
        <w:wordWrap w:val="0"/>
        <w:topLinePunct/>
        <w:snapToGrid w:val="0"/>
        <w:spacing w:line="360" w:lineRule="auto"/>
        <w:ind w:firstLine="480" w:firstLineChars="200"/>
        <w:rPr>
          <w:rFonts w:ascii="宋体" w:hAnsi="宋体" w:eastAsia="宋体"/>
          <w:sz w:val="24"/>
          <w:szCs w:val="28"/>
        </w:rPr>
      </w:pPr>
      <w:r>
        <w:rPr>
          <w:rFonts w:hint="eastAsia" w:ascii="宋体" w:hAnsi="宋体" w:eastAsia="宋体"/>
          <w:sz w:val="24"/>
          <w:szCs w:val="28"/>
        </w:rPr>
        <w:t>2、投标人须明确提供服务的地址、负责人、联系人和联系电话。</w:t>
      </w:r>
    </w:p>
    <w:p>
      <w:pPr>
        <w:wordWrap w:val="0"/>
        <w:topLinePunct/>
        <w:snapToGrid w:val="0"/>
        <w:spacing w:line="360" w:lineRule="auto"/>
        <w:ind w:firstLine="480" w:firstLineChars="200"/>
        <w:rPr>
          <w:rFonts w:ascii="宋体" w:hAnsi="宋体" w:eastAsia="宋体"/>
          <w:sz w:val="24"/>
          <w:szCs w:val="28"/>
        </w:rPr>
      </w:pPr>
      <w:r>
        <w:rPr>
          <w:rFonts w:hint="eastAsia" w:ascii="宋体" w:hAnsi="宋体" w:eastAsia="宋体"/>
          <w:sz w:val="24"/>
          <w:szCs w:val="28"/>
        </w:rPr>
        <w:t>3、本项目为交钥匙工程（包括该项目产生的所有费用）。</w:t>
      </w:r>
    </w:p>
    <w:p>
      <w:pPr>
        <w:wordWrap w:val="0"/>
        <w:topLinePunct/>
        <w:snapToGrid w:val="0"/>
        <w:spacing w:line="360" w:lineRule="auto"/>
        <w:ind w:firstLine="480" w:firstLineChars="200"/>
        <w:rPr>
          <w:rFonts w:ascii="宋体" w:hAnsi="宋体" w:eastAsia="宋体"/>
          <w:sz w:val="24"/>
          <w:szCs w:val="28"/>
        </w:rPr>
      </w:pPr>
      <w:r>
        <w:rPr>
          <w:rFonts w:hint="eastAsia" w:ascii="宋体" w:hAnsi="宋体" w:eastAsia="宋体"/>
          <w:sz w:val="24"/>
          <w:szCs w:val="28"/>
        </w:rPr>
        <w:t>4、供应商须内设独立的体检中心，满足许昌市分行体检项目及人数需求，拥有体检项目所需的医疗设备。（须要提供承诺书）</w:t>
      </w:r>
    </w:p>
    <w:p>
      <w:pPr>
        <w:wordWrap w:val="0"/>
        <w:topLinePunct/>
        <w:snapToGrid w:val="0"/>
        <w:spacing w:line="360" w:lineRule="auto"/>
        <w:ind w:firstLine="480" w:firstLineChars="200"/>
        <w:rPr>
          <w:rFonts w:ascii="宋体" w:hAnsi="宋体"/>
          <w:sz w:val="28"/>
          <w:szCs w:val="28"/>
        </w:rPr>
      </w:pPr>
      <w:r>
        <w:rPr>
          <w:rFonts w:hint="eastAsia" w:ascii="宋体" w:hAnsi="宋体" w:eastAsia="宋体"/>
          <w:sz w:val="24"/>
          <w:szCs w:val="28"/>
        </w:rPr>
        <w:t>5、供应商须对体检人员的个人健康信息及体检结果承担保密责任，须与采购人签订由采购人拟定的保密承诺书。（须要提供承诺签订承诺书）</w:t>
      </w:r>
      <w:r>
        <w:rPr>
          <w:rFonts w:hint="eastAsia" w:ascii="宋体" w:hAnsi="宋体"/>
          <w:sz w:val="28"/>
          <w:szCs w:val="28"/>
        </w:rPr>
        <w:t xml:space="preserve"> </w:t>
      </w:r>
    </w:p>
    <w:p>
      <w:pPr>
        <w:pStyle w:val="2"/>
        <w:pageBreakBefore/>
        <w:tabs>
          <w:tab w:val="clear" w:pos="5276"/>
        </w:tabs>
        <w:spacing w:line="720" w:lineRule="auto"/>
        <w:rPr>
          <w:sz w:val="44"/>
          <w:szCs w:val="44"/>
        </w:rPr>
      </w:pPr>
      <w:r>
        <w:rPr>
          <w:rFonts w:hint="eastAsia"/>
          <w:sz w:val="44"/>
          <w:szCs w:val="44"/>
        </w:rPr>
        <w:t>第三章  供应商须知前附表</w:t>
      </w:r>
    </w:p>
    <w:p>
      <w:pPr>
        <w:autoSpaceDE w:val="0"/>
        <w:autoSpaceDN w:val="0"/>
        <w:adjustRightInd w:val="0"/>
        <w:spacing w:line="360" w:lineRule="auto"/>
        <w:ind w:right="-11"/>
        <w:jc w:val="left"/>
        <w:rPr>
          <w:rFonts w:ascii="宋体" w:hAnsi="宋体" w:cs="宋体"/>
          <w:b/>
          <w:kern w:val="0"/>
          <w:sz w:val="24"/>
          <w:szCs w:val="24"/>
        </w:rPr>
      </w:pPr>
      <w:r>
        <w:rPr>
          <w:rFonts w:hint="eastAsia" w:cs="微软雅黑"/>
          <w:b/>
          <w:sz w:val="24"/>
          <w:szCs w:val="24"/>
        </w:rPr>
        <w:t>招标文件中凡标有</w:t>
      </w:r>
      <w:r>
        <w:rPr>
          <w:rFonts w:hint="eastAsia" w:ascii="宋体" w:hAnsi="宋体" w:cs="微软雅黑"/>
          <w:b/>
          <w:sz w:val="24"/>
          <w:szCs w:val="24"/>
        </w:rPr>
        <w:t>★</w:t>
      </w:r>
      <w:r>
        <w:rPr>
          <w:rFonts w:hint="eastAsia" w:cs="微软雅黑"/>
          <w:b/>
          <w:sz w:val="24"/>
          <w:szCs w:val="24"/>
        </w:rPr>
        <w:t>条款均为实质性要求条款，响应文件须完全响应，未实质响应的，按照无效投标处理。</w:t>
      </w:r>
    </w:p>
    <w:tbl>
      <w:tblPr>
        <w:tblStyle w:val="18"/>
        <w:tblW w:w="98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2268"/>
        <w:gridCol w:w="6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仿宋_GB2312"/>
                <w:b/>
                <w:sz w:val="24"/>
                <w:szCs w:val="24"/>
              </w:rPr>
            </w:pPr>
            <w:r>
              <w:rPr>
                <w:rFonts w:hint="eastAsia" w:ascii="宋体" w:hAnsi="宋体" w:cs="仿宋_GB2312"/>
                <w:b/>
                <w:sz w:val="24"/>
                <w:szCs w:val="24"/>
              </w:rPr>
              <w:t>序号</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仿宋_GB2312"/>
                <w:b/>
                <w:sz w:val="24"/>
                <w:szCs w:val="24"/>
              </w:rPr>
            </w:pPr>
            <w:r>
              <w:rPr>
                <w:rFonts w:hint="eastAsia" w:ascii="宋体" w:hAnsi="宋体" w:cs="仿宋_GB2312"/>
                <w:b/>
                <w:sz w:val="24"/>
                <w:szCs w:val="24"/>
              </w:rPr>
              <w:t>条款名称</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仿宋_GB2312"/>
                <w:b/>
                <w:sz w:val="24"/>
                <w:szCs w:val="24"/>
              </w:rPr>
            </w:pPr>
            <w:r>
              <w:rPr>
                <w:rFonts w:hint="eastAsia" w:ascii="宋体" w:hAnsi="宋体" w:cs="仿宋_GB2312"/>
                <w:b/>
                <w:sz w:val="24"/>
                <w:szCs w:val="24"/>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8"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1</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仿宋_GB2312"/>
                <w:sz w:val="24"/>
                <w:szCs w:val="24"/>
              </w:rPr>
            </w:pPr>
            <w:r>
              <w:rPr>
                <w:rFonts w:hint="eastAsia" w:ascii="宋体" w:hAnsi="宋体" w:cs="仿宋_GB2312"/>
                <w:sz w:val="24"/>
                <w:szCs w:val="24"/>
              </w:rPr>
              <w:t>采购项目</w:t>
            </w:r>
          </w:p>
        </w:tc>
        <w:tc>
          <w:tcPr>
            <w:tcW w:w="6813" w:type="dxa"/>
          </w:tcPr>
          <w:p>
            <w:pPr>
              <w:pStyle w:val="36"/>
              <w:keepNext w:val="0"/>
              <w:keepLines w:val="0"/>
              <w:pageBreakBefore w:val="0"/>
              <w:widowControl/>
              <w:shd w:val="clear" w:color="auto" w:fill="FFFFFF"/>
              <w:kinsoku/>
              <w:wordWrap/>
              <w:overflowPunct/>
              <w:topLinePunct w:val="0"/>
              <w:bidi w:val="0"/>
              <w:snapToGrid/>
              <w:spacing w:line="0" w:lineRule="atLeast"/>
              <w:contextualSpacing/>
              <w:jc w:val="left"/>
              <w:textAlignment w:val="auto"/>
              <w:rPr>
                <w:rFonts w:ascii="宋体" w:hAnsi="宋体" w:cs="仿宋_GB2312"/>
              </w:rPr>
            </w:pPr>
            <w:r>
              <w:rPr>
                <w:rFonts w:hint="eastAsia" w:ascii="宋体" w:hAnsi="宋体" w:cs="仿宋_GB2312"/>
              </w:rPr>
              <w:t>项目名称：许昌市分行2019年员工体检项目</w:t>
            </w:r>
          </w:p>
          <w:p>
            <w:pPr>
              <w:pStyle w:val="36"/>
              <w:keepNext w:val="0"/>
              <w:keepLines w:val="0"/>
              <w:pageBreakBefore w:val="0"/>
              <w:widowControl/>
              <w:shd w:val="clear" w:color="auto" w:fill="FFFFFF"/>
              <w:kinsoku/>
              <w:wordWrap/>
              <w:overflowPunct/>
              <w:topLinePunct w:val="0"/>
              <w:bidi w:val="0"/>
              <w:snapToGrid/>
              <w:spacing w:line="0" w:lineRule="atLeast"/>
              <w:contextualSpacing/>
              <w:jc w:val="left"/>
              <w:textAlignment w:val="auto"/>
              <w:rPr>
                <w:rFonts w:ascii="宋体" w:hAnsi="宋体" w:cs="仿宋_GB2312"/>
              </w:rPr>
            </w:pPr>
            <w:r>
              <w:rPr>
                <w:rFonts w:hint="eastAsia" w:ascii="宋体" w:hAnsi="宋体" w:cs="仿宋_GB2312"/>
              </w:rPr>
              <w:t>项目编号：</w:t>
            </w:r>
            <w:r>
              <w:rPr>
                <w:rFonts w:ascii="宋体" w:hAnsi="宋体" w:cs="仿宋_GB2312"/>
              </w:rPr>
              <w:t xml:space="preserve"> </w:t>
            </w:r>
            <w:r>
              <w:rPr>
                <w:rFonts w:hint="eastAsia" w:ascii="宋体" w:hAnsi="宋体" w:cs="仿宋_GB2312"/>
                <w:bCs/>
              </w:rPr>
              <w:t>2019-XCCG-07号</w:t>
            </w:r>
          </w:p>
          <w:p>
            <w:pPr>
              <w:pStyle w:val="36"/>
              <w:keepNext w:val="0"/>
              <w:keepLines w:val="0"/>
              <w:pageBreakBefore w:val="0"/>
              <w:widowControl/>
              <w:shd w:val="clear" w:color="auto" w:fill="FFFFFF"/>
              <w:kinsoku/>
              <w:wordWrap/>
              <w:overflowPunct/>
              <w:topLinePunct w:val="0"/>
              <w:bidi w:val="0"/>
              <w:snapToGrid/>
              <w:spacing w:line="0" w:lineRule="atLeast"/>
              <w:jc w:val="left"/>
              <w:textAlignment w:val="auto"/>
              <w:rPr>
                <w:rFonts w:ascii="宋体" w:hAnsi="宋体" w:cs="仿宋_GB2312"/>
              </w:rPr>
            </w:pPr>
            <w:r>
              <w:rPr>
                <w:rFonts w:hint="eastAsia" w:ascii="宋体" w:hAnsi="宋体" w:cs="仿宋_GB2312"/>
              </w:rPr>
              <w:t>项目内容：提供许昌市分行495名员工2019年体检服务。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TimesNewRomanPSMT"/>
                <w:sz w:val="24"/>
                <w:szCs w:val="24"/>
              </w:rPr>
            </w:pPr>
            <w:r>
              <w:rPr>
                <w:rFonts w:hint="eastAsia" w:ascii="宋体" w:hAnsi="宋体" w:cs="TimesNewRomanPSMT"/>
                <w:sz w:val="24"/>
                <w:szCs w:val="24"/>
              </w:rPr>
              <w:t>2</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仿宋_GB2312"/>
                <w:sz w:val="24"/>
                <w:szCs w:val="24"/>
              </w:rPr>
            </w:pPr>
            <w:r>
              <w:rPr>
                <w:rFonts w:hint="eastAsia" w:ascii="宋体" w:hAnsi="宋体" w:cs="仿宋_GB2312"/>
                <w:sz w:val="24"/>
                <w:szCs w:val="24"/>
              </w:rPr>
              <w:t>采购人</w:t>
            </w:r>
          </w:p>
        </w:tc>
        <w:tc>
          <w:tcPr>
            <w:tcW w:w="6813" w:type="dxa"/>
            <w:vAlign w:val="center"/>
          </w:tcPr>
          <w:p>
            <w:pPr>
              <w:pStyle w:val="36"/>
              <w:keepNext w:val="0"/>
              <w:keepLines w:val="0"/>
              <w:pageBreakBefore w:val="0"/>
              <w:widowControl/>
              <w:shd w:val="clear" w:color="auto" w:fill="FFFFFF"/>
              <w:kinsoku/>
              <w:wordWrap/>
              <w:overflowPunct/>
              <w:topLinePunct w:val="0"/>
              <w:bidi w:val="0"/>
              <w:snapToGrid/>
              <w:spacing w:line="0" w:lineRule="atLeast"/>
              <w:jc w:val="left"/>
              <w:textAlignment w:val="auto"/>
              <w:rPr>
                <w:rFonts w:ascii="宋体" w:hAnsi="宋体" w:cs="仿宋_GB2312"/>
              </w:rPr>
            </w:pPr>
            <w:r>
              <w:rPr>
                <w:rFonts w:hint="eastAsia" w:ascii="宋体" w:hAnsi="宋体" w:cs="仿宋_GB2312"/>
              </w:rPr>
              <w:t>采购人：中国邮政储蓄银行股份有限公司许昌市分行</w:t>
            </w:r>
          </w:p>
          <w:p>
            <w:pPr>
              <w:pStyle w:val="36"/>
              <w:keepNext w:val="0"/>
              <w:keepLines w:val="0"/>
              <w:pageBreakBefore w:val="0"/>
              <w:widowControl/>
              <w:shd w:val="clear" w:color="auto" w:fill="FFFFFF"/>
              <w:kinsoku/>
              <w:wordWrap/>
              <w:overflowPunct/>
              <w:topLinePunct w:val="0"/>
              <w:bidi w:val="0"/>
              <w:snapToGrid/>
              <w:spacing w:line="0" w:lineRule="atLeast"/>
              <w:jc w:val="left"/>
              <w:textAlignment w:val="auto"/>
              <w:rPr>
                <w:rFonts w:ascii="宋体" w:hAnsi="宋体" w:cs="仿宋_GB2312"/>
              </w:rPr>
            </w:pPr>
            <w:r>
              <w:rPr>
                <w:rFonts w:hint="eastAsia" w:ascii="宋体" w:hAnsi="宋体" w:cs="仿宋_GB2312"/>
              </w:rPr>
              <w:t>地  址：河南省许昌市颖昌路402号</w:t>
            </w:r>
          </w:p>
          <w:p>
            <w:pPr>
              <w:pStyle w:val="36"/>
              <w:keepNext w:val="0"/>
              <w:keepLines w:val="0"/>
              <w:pageBreakBefore w:val="0"/>
              <w:widowControl/>
              <w:shd w:val="clear" w:color="auto" w:fill="FFFFFF"/>
              <w:kinsoku/>
              <w:wordWrap/>
              <w:overflowPunct/>
              <w:topLinePunct w:val="0"/>
              <w:bidi w:val="0"/>
              <w:snapToGrid/>
              <w:spacing w:line="0" w:lineRule="atLeast"/>
              <w:jc w:val="left"/>
              <w:textAlignment w:val="auto"/>
              <w:rPr>
                <w:rFonts w:ascii="宋体" w:hAnsi="宋体" w:cs="仿宋_GB2312"/>
              </w:rPr>
            </w:pPr>
            <w:r>
              <w:rPr>
                <w:rFonts w:hint="eastAsia" w:ascii="宋体" w:hAnsi="宋体" w:cs="仿宋_GB2312"/>
              </w:rPr>
              <w:t>联系人：刘女士</w:t>
            </w:r>
          </w:p>
          <w:p>
            <w:pPr>
              <w:pStyle w:val="36"/>
              <w:keepNext w:val="0"/>
              <w:keepLines w:val="0"/>
              <w:pageBreakBefore w:val="0"/>
              <w:widowControl/>
              <w:shd w:val="clear" w:color="auto" w:fill="FFFFFF"/>
              <w:kinsoku/>
              <w:wordWrap/>
              <w:overflowPunct/>
              <w:topLinePunct w:val="0"/>
              <w:bidi w:val="0"/>
              <w:snapToGrid/>
              <w:spacing w:line="0" w:lineRule="atLeast"/>
              <w:jc w:val="left"/>
              <w:textAlignment w:val="auto"/>
              <w:rPr>
                <w:rFonts w:ascii="宋体" w:hAnsi="宋体" w:cs="仿宋_GB2312"/>
              </w:rPr>
            </w:pPr>
            <w:r>
              <w:rPr>
                <w:rFonts w:hint="eastAsia" w:ascii="宋体" w:hAnsi="宋体" w:cs="仿宋_GB2312"/>
              </w:rPr>
              <w:t>联系电话：0374-2660300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3</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仿宋_GB2312"/>
                <w:sz w:val="24"/>
                <w:szCs w:val="24"/>
              </w:rPr>
            </w:pPr>
            <w:r>
              <w:rPr>
                <w:rFonts w:hint="eastAsia" w:ascii="宋体" w:hAnsi="宋体" w:cs="仿宋_GB2312"/>
                <w:sz w:val="24"/>
                <w:szCs w:val="24"/>
              </w:rPr>
              <w:t>代理机构</w:t>
            </w:r>
          </w:p>
        </w:tc>
        <w:tc>
          <w:tcPr>
            <w:tcW w:w="6813" w:type="dxa"/>
            <w:vAlign w:val="center"/>
          </w:tcPr>
          <w:p>
            <w:pPr>
              <w:pStyle w:val="36"/>
              <w:keepNext w:val="0"/>
              <w:keepLines w:val="0"/>
              <w:pageBreakBefore w:val="0"/>
              <w:widowControl/>
              <w:shd w:val="clear" w:color="auto" w:fill="FFFFFF"/>
              <w:kinsoku/>
              <w:wordWrap/>
              <w:overflowPunct/>
              <w:topLinePunct w:val="0"/>
              <w:bidi w:val="0"/>
              <w:snapToGrid/>
              <w:spacing w:line="0" w:lineRule="atLeast"/>
              <w:jc w:val="left"/>
              <w:textAlignment w:val="auto"/>
              <w:rPr>
                <w:rFonts w:ascii="宋体" w:hAnsi="宋体" w:cs="仿宋_GB2312"/>
              </w:rPr>
            </w:pPr>
            <w:r>
              <w:rPr>
                <w:rFonts w:hint="eastAsia" w:ascii="宋体" w:hAnsi="宋体" w:cs="仿宋_GB2312"/>
              </w:rPr>
              <w:t>代理机构：河南省伟信招标管理咨询有限公司</w:t>
            </w:r>
          </w:p>
          <w:p>
            <w:pPr>
              <w:pStyle w:val="36"/>
              <w:keepNext w:val="0"/>
              <w:keepLines w:val="0"/>
              <w:pageBreakBefore w:val="0"/>
              <w:widowControl/>
              <w:shd w:val="clear" w:color="auto" w:fill="FFFFFF"/>
              <w:kinsoku/>
              <w:wordWrap/>
              <w:overflowPunct/>
              <w:topLinePunct w:val="0"/>
              <w:bidi w:val="0"/>
              <w:snapToGrid/>
              <w:spacing w:line="0" w:lineRule="atLeast"/>
              <w:jc w:val="left"/>
              <w:textAlignment w:val="auto"/>
              <w:rPr>
                <w:rFonts w:ascii="宋体" w:hAnsi="宋体" w:cs="仿宋_GB2312"/>
              </w:rPr>
            </w:pPr>
            <w:r>
              <w:rPr>
                <w:rFonts w:hint="eastAsia" w:ascii="宋体" w:hAnsi="宋体" w:cs="仿宋_GB2312"/>
              </w:rPr>
              <w:t>地 址：学院路恒大绿洲紫薇公寓1818室</w:t>
            </w:r>
          </w:p>
          <w:p>
            <w:pPr>
              <w:pStyle w:val="36"/>
              <w:keepNext w:val="0"/>
              <w:keepLines w:val="0"/>
              <w:pageBreakBefore w:val="0"/>
              <w:widowControl/>
              <w:shd w:val="clear" w:color="auto" w:fill="FFFFFF"/>
              <w:kinsoku/>
              <w:wordWrap/>
              <w:overflowPunct/>
              <w:topLinePunct w:val="0"/>
              <w:bidi w:val="0"/>
              <w:snapToGrid/>
              <w:spacing w:line="0" w:lineRule="atLeast"/>
              <w:jc w:val="left"/>
              <w:textAlignment w:val="auto"/>
              <w:rPr>
                <w:rFonts w:ascii="宋体" w:hAnsi="宋体" w:cs="仿宋_GB2312"/>
              </w:rPr>
            </w:pPr>
            <w:r>
              <w:rPr>
                <w:rFonts w:hint="eastAsia" w:ascii="宋体" w:hAnsi="宋体" w:cs="仿宋_GB2312"/>
              </w:rPr>
              <w:t>联系人：侯先生 李先生</w:t>
            </w:r>
          </w:p>
          <w:p>
            <w:pPr>
              <w:keepNext w:val="0"/>
              <w:keepLines w:val="0"/>
              <w:pageBreakBefore w:val="0"/>
              <w:kinsoku/>
              <w:wordWrap/>
              <w:overflowPunct/>
              <w:topLinePunct w:val="0"/>
              <w:autoSpaceDE w:val="0"/>
              <w:autoSpaceDN w:val="0"/>
              <w:bidi w:val="0"/>
              <w:adjustRightInd w:val="0"/>
              <w:snapToGrid/>
              <w:spacing w:line="0" w:lineRule="atLeast"/>
              <w:jc w:val="left"/>
              <w:textAlignment w:val="auto"/>
              <w:rPr>
                <w:rFonts w:ascii="宋体" w:hAnsi="宋体" w:cs="仿宋_GB2312"/>
                <w:sz w:val="24"/>
                <w:szCs w:val="24"/>
              </w:rPr>
            </w:pPr>
            <w:r>
              <w:rPr>
                <w:rFonts w:hint="eastAsia" w:ascii="宋体" w:hAnsi="宋体" w:cs="仿宋_GB2312"/>
              </w:rPr>
              <w:t>联系电话：</w:t>
            </w:r>
            <w:r>
              <w:rPr>
                <w:rFonts w:ascii="宋体" w:hAnsi="宋体" w:cs="仿宋_GB2312"/>
              </w:rPr>
              <w:t>15290910904 13598966273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4</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仿宋_GB2312"/>
                <w:sz w:val="24"/>
                <w:szCs w:val="24"/>
              </w:rPr>
            </w:pPr>
            <w:r>
              <w:rPr>
                <w:rFonts w:hint="eastAsia" w:ascii="宋体" w:hAnsi="宋体" w:cs="微软雅黑"/>
                <w:b/>
                <w:sz w:val="24"/>
                <w:szCs w:val="24"/>
              </w:rPr>
              <w:t>★</w:t>
            </w:r>
            <w:r>
              <w:rPr>
                <w:rFonts w:hint="eastAsia" w:ascii="宋体" w:hAnsi="宋体" w:cs="仿宋_GB2312"/>
                <w:sz w:val="24"/>
                <w:szCs w:val="24"/>
              </w:rPr>
              <w:t>供应商资格</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ind w:right="-11"/>
              <w:textAlignment w:val="auto"/>
              <w:rPr>
                <w:rFonts w:ascii="宋体" w:hAnsi="宋体" w:cs="宋体"/>
                <w:b/>
                <w:bCs/>
                <w:sz w:val="24"/>
                <w:szCs w:val="24"/>
                <w:lang w:val="zh-CN"/>
              </w:rPr>
            </w:pPr>
            <w:r>
              <w:rPr>
                <w:rFonts w:hint="eastAsia" w:ascii="宋体" w:hAnsi="宋体" w:cs="宋体"/>
                <w:b/>
                <w:bCs/>
                <w:sz w:val="24"/>
                <w:szCs w:val="24"/>
                <w:lang w:val="zh-CN"/>
              </w:rPr>
              <w:t>一、</w:t>
            </w:r>
            <w:r>
              <w:rPr>
                <w:rFonts w:ascii="宋体" w:hAnsi="宋体" w:cs="宋体"/>
                <w:b/>
                <w:bCs/>
                <w:sz w:val="24"/>
                <w:szCs w:val="24"/>
                <w:lang w:val="zh-CN"/>
              </w:rPr>
              <w:t>法人或者其他组织的营业执照等证明文件，自然人的身份证明</w:t>
            </w:r>
          </w:p>
          <w:p>
            <w:pPr>
              <w:keepNext w:val="0"/>
              <w:keepLines w:val="0"/>
              <w:pageBreakBefore w:val="0"/>
              <w:kinsoku/>
              <w:wordWrap/>
              <w:overflowPunct/>
              <w:topLinePunct w:val="0"/>
              <w:autoSpaceDE w:val="0"/>
              <w:autoSpaceDN w:val="0"/>
              <w:bidi w:val="0"/>
              <w:adjustRightInd w:val="0"/>
              <w:snapToGrid/>
              <w:spacing w:line="0" w:lineRule="atLeast"/>
              <w:ind w:right="-11"/>
              <w:textAlignment w:val="auto"/>
              <w:rPr>
                <w:rFonts w:ascii="宋体" w:hAnsi="宋体" w:cs="宋体"/>
                <w:bCs/>
                <w:sz w:val="24"/>
                <w:szCs w:val="24"/>
                <w:lang w:val="zh-CN"/>
              </w:rPr>
            </w:pPr>
            <w:r>
              <w:rPr>
                <w:rFonts w:hint="eastAsia" w:ascii="宋体" w:hAnsi="宋体" w:cs="宋体"/>
                <w:bCs/>
                <w:sz w:val="24"/>
                <w:szCs w:val="24"/>
                <w:lang w:val="zh-CN"/>
              </w:rPr>
              <w:t>1、企业法人营业执照或营业执照。（企业投标提供）</w:t>
            </w:r>
          </w:p>
          <w:p>
            <w:pPr>
              <w:keepNext w:val="0"/>
              <w:keepLines w:val="0"/>
              <w:pageBreakBefore w:val="0"/>
              <w:kinsoku/>
              <w:wordWrap/>
              <w:overflowPunct/>
              <w:topLinePunct w:val="0"/>
              <w:autoSpaceDE w:val="0"/>
              <w:autoSpaceDN w:val="0"/>
              <w:bidi w:val="0"/>
              <w:adjustRightInd w:val="0"/>
              <w:snapToGrid/>
              <w:spacing w:line="0" w:lineRule="atLeast"/>
              <w:ind w:right="-11"/>
              <w:textAlignment w:val="auto"/>
              <w:rPr>
                <w:rFonts w:ascii="宋体" w:hAnsi="宋体" w:cs="宋体"/>
                <w:bCs/>
                <w:sz w:val="24"/>
                <w:szCs w:val="24"/>
                <w:lang w:val="zh-CN"/>
              </w:rPr>
            </w:pPr>
            <w:r>
              <w:rPr>
                <w:rFonts w:hint="eastAsia" w:ascii="宋体" w:hAnsi="宋体" w:cs="宋体"/>
                <w:bCs/>
                <w:sz w:val="24"/>
                <w:szCs w:val="24"/>
                <w:lang w:val="zh-CN"/>
              </w:rPr>
              <w:t>2、事业单位法人证书。（事业单位投标提供）</w:t>
            </w:r>
          </w:p>
          <w:p>
            <w:pPr>
              <w:keepNext w:val="0"/>
              <w:keepLines w:val="0"/>
              <w:pageBreakBefore w:val="0"/>
              <w:kinsoku/>
              <w:wordWrap/>
              <w:overflowPunct/>
              <w:topLinePunct w:val="0"/>
              <w:autoSpaceDE w:val="0"/>
              <w:autoSpaceDN w:val="0"/>
              <w:bidi w:val="0"/>
              <w:adjustRightInd w:val="0"/>
              <w:snapToGrid/>
              <w:spacing w:line="0" w:lineRule="atLeast"/>
              <w:ind w:right="-11"/>
              <w:textAlignment w:val="auto"/>
              <w:rPr>
                <w:rFonts w:ascii="宋体" w:hAnsi="宋体" w:cs="宋体"/>
                <w:bCs/>
                <w:sz w:val="24"/>
                <w:szCs w:val="24"/>
                <w:lang w:val="zh-CN"/>
              </w:rPr>
            </w:pPr>
            <w:r>
              <w:rPr>
                <w:rFonts w:hint="eastAsia" w:ascii="宋体" w:hAnsi="宋体" w:cs="宋体"/>
                <w:bCs/>
                <w:sz w:val="24"/>
                <w:szCs w:val="24"/>
                <w:lang w:val="zh-CN"/>
              </w:rPr>
              <w:t>3、执业许可证。（非专业服务机构投标提供）</w:t>
            </w:r>
          </w:p>
          <w:p>
            <w:pPr>
              <w:keepNext w:val="0"/>
              <w:keepLines w:val="0"/>
              <w:pageBreakBefore w:val="0"/>
              <w:kinsoku/>
              <w:wordWrap/>
              <w:overflowPunct/>
              <w:topLinePunct w:val="0"/>
              <w:autoSpaceDE w:val="0"/>
              <w:autoSpaceDN w:val="0"/>
              <w:bidi w:val="0"/>
              <w:adjustRightInd w:val="0"/>
              <w:snapToGrid/>
              <w:spacing w:line="0" w:lineRule="atLeast"/>
              <w:jc w:val="left"/>
              <w:textAlignment w:val="auto"/>
              <w:rPr>
                <w:rFonts w:ascii="宋体" w:hAnsi="宋体" w:cs="宋体"/>
                <w:b/>
                <w:bCs/>
                <w:sz w:val="24"/>
                <w:szCs w:val="24"/>
                <w:lang w:val="zh-CN"/>
              </w:rPr>
            </w:pPr>
            <w:r>
              <w:rPr>
                <w:rFonts w:hint="eastAsia" w:ascii="宋体" w:hAnsi="宋体" w:cs="仿宋_GB2312"/>
                <w:b/>
                <w:sz w:val="24"/>
                <w:szCs w:val="24"/>
              </w:rPr>
              <w:t>二、</w:t>
            </w:r>
            <w:r>
              <w:rPr>
                <w:rFonts w:hint="eastAsia" w:ascii="宋体" w:hAnsi="宋体" w:cs="宋体"/>
                <w:b/>
                <w:bCs/>
                <w:sz w:val="24"/>
                <w:szCs w:val="24"/>
                <w:lang w:val="zh-CN"/>
              </w:rPr>
              <w:t>履行合同所必须的设备和专业技术能力的证明材料</w:t>
            </w:r>
          </w:p>
          <w:p>
            <w:pPr>
              <w:keepNext w:val="0"/>
              <w:keepLines w:val="0"/>
              <w:pageBreakBefore w:val="0"/>
              <w:kinsoku/>
              <w:wordWrap/>
              <w:overflowPunct/>
              <w:topLinePunct w:val="0"/>
              <w:autoSpaceDE w:val="0"/>
              <w:autoSpaceDN w:val="0"/>
              <w:bidi w:val="0"/>
              <w:adjustRightInd w:val="0"/>
              <w:snapToGrid/>
              <w:spacing w:line="0" w:lineRule="atLeast"/>
              <w:jc w:val="left"/>
              <w:textAlignment w:val="auto"/>
              <w:rPr>
                <w:rFonts w:ascii="宋体" w:hAnsi="宋体" w:cs="宋体"/>
                <w:kern w:val="0"/>
                <w:sz w:val="24"/>
                <w:szCs w:val="24"/>
              </w:rPr>
            </w:pPr>
            <w:r>
              <w:rPr>
                <w:rFonts w:hint="eastAsia" w:ascii="宋体" w:hAnsi="宋体" w:cs="宋体"/>
                <w:bCs/>
                <w:sz w:val="24"/>
                <w:szCs w:val="24"/>
                <w:lang w:val="zh-CN"/>
              </w:rPr>
              <w:t>相关设备的购置发票、专业技术人员职称证书、用工合同等或者</w:t>
            </w:r>
            <w:r>
              <w:rPr>
                <w:rFonts w:hint="eastAsia" w:ascii="宋体" w:hAnsi="宋体" w:cs="宋体"/>
                <w:kern w:val="0"/>
                <w:sz w:val="24"/>
                <w:szCs w:val="24"/>
              </w:rPr>
              <w:t>附供应商相关承诺函或声明。</w:t>
            </w:r>
          </w:p>
          <w:p>
            <w:pPr>
              <w:keepNext w:val="0"/>
              <w:keepLines w:val="0"/>
              <w:pageBreakBefore w:val="0"/>
              <w:kinsoku/>
              <w:wordWrap/>
              <w:overflowPunct/>
              <w:topLinePunct w:val="0"/>
              <w:autoSpaceDE w:val="0"/>
              <w:autoSpaceDN w:val="0"/>
              <w:bidi w:val="0"/>
              <w:adjustRightInd w:val="0"/>
              <w:snapToGrid/>
              <w:spacing w:line="0" w:lineRule="atLeast"/>
              <w:ind w:right="-11"/>
              <w:textAlignment w:val="auto"/>
              <w:rPr>
                <w:rFonts w:ascii="宋体" w:hAnsi="宋体" w:cs="宋体"/>
                <w:b/>
                <w:kern w:val="0"/>
                <w:sz w:val="24"/>
                <w:szCs w:val="24"/>
              </w:rPr>
            </w:pPr>
            <w:r>
              <w:rPr>
                <w:rFonts w:hint="eastAsia" w:ascii="宋体" w:hAnsi="宋体" w:cs="宋体"/>
                <w:b/>
                <w:kern w:val="0"/>
                <w:sz w:val="24"/>
                <w:szCs w:val="24"/>
              </w:rPr>
              <w:t>三、具有卫生部门批准的医疗卫生资质</w:t>
            </w:r>
          </w:p>
          <w:p>
            <w:pPr>
              <w:keepNext w:val="0"/>
              <w:keepLines w:val="0"/>
              <w:pageBreakBefore w:val="0"/>
              <w:kinsoku/>
              <w:wordWrap/>
              <w:overflowPunct/>
              <w:topLinePunct w:val="0"/>
              <w:autoSpaceDE w:val="0"/>
              <w:autoSpaceDN w:val="0"/>
              <w:bidi w:val="0"/>
              <w:adjustRightInd w:val="0"/>
              <w:snapToGrid/>
              <w:spacing w:line="0" w:lineRule="atLeast"/>
              <w:ind w:right="-11"/>
              <w:textAlignment w:val="auto"/>
              <w:rPr>
                <w:rFonts w:ascii="宋体" w:hAnsi="宋体" w:cs="宋体"/>
                <w:b/>
                <w:bCs/>
                <w:sz w:val="24"/>
                <w:szCs w:val="24"/>
                <w:lang w:val="zh-CN"/>
              </w:rPr>
            </w:pPr>
            <w:r>
              <w:rPr>
                <w:rFonts w:hint="eastAsia" w:ascii="宋体" w:hAnsi="宋体" w:cs="宋体"/>
                <w:b/>
                <w:kern w:val="0"/>
                <w:sz w:val="24"/>
                <w:szCs w:val="24"/>
              </w:rPr>
              <w:t>四、</w:t>
            </w:r>
            <w:r>
              <w:rPr>
                <w:rFonts w:ascii="宋体" w:hAnsi="宋体" w:cs="宋体"/>
                <w:b/>
                <w:bCs/>
                <w:sz w:val="24"/>
                <w:szCs w:val="24"/>
                <w:lang w:val="zh-CN"/>
              </w:rPr>
              <w:t>参加采购活动前3年内在经营活动中没有重大违法记录的声明</w:t>
            </w:r>
          </w:p>
          <w:p>
            <w:pPr>
              <w:keepNext w:val="0"/>
              <w:keepLines w:val="0"/>
              <w:pageBreakBefore w:val="0"/>
              <w:kinsoku/>
              <w:wordWrap/>
              <w:overflowPunct/>
              <w:topLinePunct w:val="0"/>
              <w:autoSpaceDE w:val="0"/>
              <w:autoSpaceDN w:val="0"/>
              <w:bidi w:val="0"/>
              <w:snapToGrid/>
              <w:spacing w:line="0" w:lineRule="atLeast"/>
              <w:contextualSpacing/>
              <w:jc w:val="left"/>
              <w:textAlignment w:val="auto"/>
              <w:rPr>
                <w:rFonts w:ascii="宋体" w:hAnsi="宋体" w:cs="宋体"/>
                <w:bCs/>
                <w:sz w:val="24"/>
                <w:szCs w:val="24"/>
                <w:lang w:val="zh-CN"/>
              </w:rPr>
            </w:pPr>
            <w:r>
              <w:rPr>
                <w:rFonts w:hint="eastAsia" w:ascii="宋体" w:hAnsi="宋体" w:cs="宋体"/>
                <w:bCs/>
                <w:sz w:val="24"/>
                <w:szCs w:val="24"/>
                <w:lang w:val="zh-CN"/>
              </w:rPr>
              <w:t>供应商“</w:t>
            </w:r>
            <w:r>
              <w:rPr>
                <w:rFonts w:ascii="宋体" w:hAnsi="宋体" w:cs="宋体"/>
                <w:bCs/>
                <w:sz w:val="24"/>
                <w:szCs w:val="24"/>
                <w:lang w:val="zh-CN"/>
              </w:rPr>
              <w:t>参加采购活动前3年内在经营活动中没有重大违法记录的书面声明</w:t>
            </w:r>
            <w:r>
              <w:rPr>
                <w:rFonts w:hint="eastAsia" w:ascii="宋体" w:hAnsi="宋体" w:cs="宋体"/>
                <w:bCs/>
                <w:sz w:val="24"/>
                <w:szCs w:val="24"/>
                <w:lang w:val="zh-CN"/>
              </w:rPr>
              <w:t>”。 重大违法记录，是指供应商因违法经营受到刑事处罚或者责令停产停业、吊销许可证或者执照、较大数额罚款等行政处罚。</w:t>
            </w:r>
          </w:p>
          <w:p>
            <w:pPr>
              <w:keepNext w:val="0"/>
              <w:keepLines w:val="0"/>
              <w:pageBreakBefore w:val="0"/>
              <w:kinsoku/>
              <w:wordWrap/>
              <w:overflowPunct/>
              <w:topLinePunct w:val="0"/>
              <w:autoSpaceDE w:val="0"/>
              <w:autoSpaceDN w:val="0"/>
              <w:bidi w:val="0"/>
              <w:snapToGrid/>
              <w:spacing w:line="0" w:lineRule="atLeast"/>
              <w:contextualSpacing/>
              <w:jc w:val="left"/>
              <w:textAlignment w:val="auto"/>
              <w:rPr>
                <w:rFonts w:ascii="宋体" w:hAnsi="宋体" w:cs="宋体"/>
                <w:kern w:val="0"/>
                <w:sz w:val="24"/>
                <w:szCs w:val="24"/>
              </w:rPr>
            </w:pPr>
            <w:r>
              <w:rPr>
                <w:rFonts w:hint="eastAsia" w:ascii="宋体" w:hAnsi="宋体" w:cs="宋体"/>
                <w:b/>
                <w:bCs/>
                <w:sz w:val="24"/>
                <w:szCs w:val="24"/>
                <w:lang w:val="zh-CN"/>
              </w:rPr>
              <w:t>五、</w:t>
            </w:r>
            <w:r>
              <w:rPr>
                <w:rFonts w:hint="eastAsia" w:ascii="宋体" w:hAnsi="宋体" w:cs="仿宋_GB2312"/>
                <w:b/>
                <w:sz w:val="24"/>
                <w:szCs w:val="24"/>
                <w:shd w:val="clear" w:color="auto" w:fill="FFFFFF"/>
              </w:rPr>
              <w:t>未被列入“信用中国”网站(www.creditchina.gov.cn)失信被执行人、重大税收违法案件当事人名单、政府采购严重违法失信名单的供应商；“国家企业信用公示系统”网站（www.gsxt.gov.cn）严重违法失信企业名单（黑名单）的供应商</w:t>
            </w:r>
            <w:r>
              <w:rPr>
                <w:rFonts w:hint="eastAsia" w:ascii="宋体" w:hAnsi="宋体" w:cs="宋体"/>
                <w:b/>
                <w:bCs/>
                <w:sz w:val="24"/>
                <w:szCs w:val="24"/>
                <w:lang w:val="zh-CN"/>
              </w:rPr>
              <w:t>。</w:t>
            </w:r>
          </w:p>
          <w:p>
            <w:pPr>
              <w:keepNext w:val="0"/>
              <w:keepLines w:val="0"/>
              <w:pageBreakBefore w:val="0"/>
              <w:kinsoku/>
              <w:wordWrap/>
              <w:overflowPunct/>
              <w:topLinePunct w:val="0"/>
              <w:autoSpaceDE w:val="0"/>
              <w:autoSpaceDN w:val="0"/>
              <w:bidi w:val="0"/>
              <w:snapToGrid/>
              <w:spacing w:line="0" w:lineRule="atLeast"/>
              <w:contextualSpacing/>
              <w:textAlignment w:val="auto"/>
              <w:rPr>
                <w:rFonts w:ascii="宋体" w:hAnsi="宋体" w:cs="宋体"/>
                <w:kern w:val="0"/>
                <w:sz w:val="24"/>
                <w:szCs w:val="24"/>
              </w:rPr>
            </w:pPr>
            <w:r>
              <w:rPr>
                <w:rFonts w:hint="eastAsia" w:ascii="宋体" w:hAnsi="宋体" w:cs="宋体"/>
                <w:kern w:val="0"/>
                <w:sz w:val="24"/>
                <w:szCs w:val="24"/>
              </w:rPr>
              <w:t>1、查询渠道：“信用中国”网站（</w:t>
            </w:r>
            <w:r>
              <w:rPr>
                <w:rFonts w:ascii="宋体" w:hAnsi="宋体" w:cs="宋体"/>
                <w:kern w:val="0"/>
                <w:sz w:val="24"/>
                <w:szCs w:val="24"/>
              </w:rPr>
              <w:t>www.creditchina.gov.cn</w:t>
            </w:r>
            <w:r>
              <w:rPr>
                <w:rFonts w:hint="eastAsia" w:ascii="宋体" w:hAnsi="宋体" w:cs="宋体"/>
                <w:kern w:val="0"/>
                <w:sz w:val="24"/>
                <w:szCs w:val="24"/>
              </w:rPr>
              <w:t>）和“国家企业信用公示系统”（</w:t>
            </w:r>
            <w:r>
              <w:t xml:space="preserve"> </w:t>
            </w:r>
            <w:r>
              <w:rPr>
                <w:rFonts w:ascii="宋体" w:hAnsi="宋体" w:cs="宋体"/>
                <w:kern w:val="0"/>
                <w:sz w:val="24"/>
                <w:szCs w:val="24"/>
              </w:rPr>
              <w:t>www.gsxt.gov.cn</w:t>
            </w:r>
            <w:r>
              <w:rPr>
                <w:rFonts w:hint="eastAsia" w:ascii="宋体" w:hAnsi="宋体" w:cs="宋体"/>
                <w:kern w:val="0"/>
                <w:sz w:val="24"/>
                <w:szCs w:val="24"/>
              </w:rPr>
              <w:t>）；</w:t>
            </w:r>
          </w:p>
          <w:p>
            <w:pPr>
              <w:keepNext w:val="0"/>
              <w:keepLines w:val="0"/>
              <w:pageBreakBefore w:val="0"/>
              <w:kinsoku/>
              <w:wordWrap/>
              <w:overflowPunct/>
              <w:topLinePunct w:val="0"/>
              <w:autoSpaceDE w:val="0"/>
              <w:autoSpaceDN w:val="0"/>
              <w:bidi w:val="0"/>
              <w:snapToGrid/>
              <w:spacing w:line="0" w:lineRule="atLeast"/>
              <w:contextualSpacing/>
              <w:textAlignment w:val="auto"/>
              <w:rPr>
                <w:rFonts w:ascii="宋体" w:hAnsi="宋体" w:cs="宋体"/>
                <w:kern w:val="0"/>
                <w:sz w:val="24"/>
                <w:szCs w:val="24"/>
              </w:rPr>
            </w:pPr>
            <w:r>
              <w:rPr>
                <w:rFonts w:hint="eastAsia" w:ascii="宋体" w:hAnsi="宋体" w:cs="宋体"/>
                <w:kern w:val="0"/>
                <w:sz w:val="24"/>
                <w:szCs w:val="24"/>
              </w:rPr>
              <w:t>2、截止时间：同投标截止时间；</w:t>
            </w:r>
          </w:p>
          <w:p>
            <w:pPr>
              <w:keepNext w:val="0"/>
              <w:keepLines w:val="0"/>
              <w:pageBreakBefore w:val="0"/>
              <w:kinsoku/>
              <w:wordWrap/>
              <w:overflowPunct/>
              <w:topLinePunct w:val="0"/>
              <w:autoSpaceDE w:val="0"/>
              <w:autoSpaceDN w:val="0"/>
              <w:bidi w:val="0"/>
              <w:snapToGrid/>
              <w:spacing w:line="0" w:lineRule="atLeast"/>
              <w:contextualSpacing/>
              <w:textAlignment w:val="auto"/>
              <w:rPr>
                <w:rFonts w:ascii="宋体" w:hAnsi="宋体" w:cs="宋体"/>
                <w:kern w:val="0"/>
                <w:sz w:val="24"/>
                <w:szCs w:val="24"/>
              </w:rPr>
            </w:pPr>
            <w:r>
              <w:rPr>
                <w:rFonts w:hint="eastAsia" w:ascii="宋体" w:hAnsi="宋体" w:cs="宋体"/>
                <w:kern w:val="0"/>
                <w:sz w:val="24"/>
                <w:szCs w:val="24"/>
              </w:rPr>
              <w:t>3、信用信息查询记录和证据留存具体方式：经采购人确认的查询结果网页截图作为查询记录和证据，与其他采购文件一并保存；</w:t>
            </w:r>
          </w:p>
          <w:p>
            <w:pPr>
              <w:keepNext w:val="0"/>
              <w:keepLines w:val="0"/>
              <w:pageBreakBefore w:val="0"/>
              <w:kinsoku/>
              <w:wordWrap/>
              <w:overflowPunct/>
              <w:topLinePunct w:val="0"/>
              <w:autoSpaceDE w:val="0"/>
              <w:autoSpaceDN w:val="0"/>
              <w:bidi w:val="0"/>
              <w:snapToGrid/>
              <w:spacing w:line="0" w:lineRule="atLeast"/>
              <w:contextualSpacing/>
              <w:textAlignment w:val="auto"/>
              <w:rPr>
                <w:rFonts w:ascii="宋体" w:hAnsi="宋体" w:cs="宋体"/>
                <w:kern w:val="0"/>
                <w:sz w:val="24"/>
                <w:szCs w:val="24"/>
              </w:rPr>
            </w:pPr>
            <w:r>
              <w:rPr>
                <w:rFonts w:hint="eastAsia" w:ascii="宋体" w:hAnsi="宋体" w:cs="宋体"/>
                <w:kern w:val="0"/>
                <w:sz w:val="24"/>
                <w:szCs w:val="24"/>
              </w:rPr>
              <w:t>4、信用信息的使用原则：经采购人认定的被列入失信被执行人、重大税收违法案件当事人名单、政府采购严重违法失信行为记录名单的供应商，将拒绝其参与本采购活动。</w:t>
            </w:r>
          </w:p>
          <w:p>
            <w:pPr>
              <w:keepNext w:val="0"/>
              <w:keepLines w:val="0"/>
              <w:pageBreakBefore w:val="0"/>
              <w:kinsoku/>
              <w:wordWrap/>
              <w:overflowPunct/>
              <w:topLinePunct w:val="0"/>
              <w:autoSpaceDE w:val="0"/>
              <w:autoSpaceDN w:val="0"/>
              <w:bidi w:val="0"/>
              <w:snapToGrid/>
              <w:spacing w:line="0" w:lineRule="atLeast"/>
              <w:contextualSpacing/>
              <w:textAlignment w:val="auto"/>
              <w:rPr>
                <w:rFonts w:ascii="宋体" w:hAnsi="宋体" w:cs="仿宋_GB2312"/>
                <w:sz w:val="24"/>
                <w:szCs w:val="24"/>
              </w:rPr>
            </w:pPr>
            <w:r>
              <w:rPr>
                <w:rFonts w:hint="eastAsia" w:ascii="宋体" w:hAnsi="宋体" w:cs="宋体"/>
                <w:kern w:val="0"/>
                <w:sz w:val="24"/>
                <w:szCs w:val="24"/>
              </w:rPr>
              <w:t>5、供应商不良信用记录以采购人查询结果为准，采购人查询之后，网站信息发生的任何变更不再作为评审依据，供应商自行提供的与网站信息不一致的其他证明材料亦不作为评审依据。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5</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宋体"/>
                <w:bCs/>
                <w:sz w:val="24"/>
                <w:szCs w:val="24"/>
                <w:lang w:val="zh-CN"/>
              </w:rPr>
            </w:pPr>
            <w:r>
              <w:rPr>
                <w:rFonts w:hint="eastAsia" w:ascii="宋体" w:hAnsi="宋体" w:cs="微软雅黑"/>
                <w:b/>
                <w:sz w:val="24"/>
                <w:szCs w:val="24"/>
              </w:rPr>
              <w:t>★</w:t>
            </w:r>
            <w:r>
              <w:rPr>
                <w:rFonts w:hint="eastAsia" w:ascii="宋体" w:hAnsi="宋体" w:cs="宋体"/>
                <w:bCs/>
                <w:sz w:val="24"/>
                <w:szCs w:val="24"/>
                <w:lang w:val="zh-CN"/>
              </w:rPr>
              <w:t>联合体投标</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宋体"/>
                <w:bCs/>
                <w:sz w:val="24"/>
                <w:szCs w:val="24"/>
                <w:lang w:val="zh-CN"/>
              </w:rPr>
            </w:pPr>
            <w:r>
              <w:rPr>
                <w:rFonts w:hint="eastAsia" w:ascii="宋体" w:hAnsi="宋体" w:cs="宋体"/>
                <w:kern w:val="0"/>
                <w:sz w:val="24"/>
                <w:szCs w:val="24"/>
              </w:rPr>
              <w:t>本项目不接受联合体投标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6</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ind w:firstLine="361" w:firstLineChars="150"/>
              <w:textAlignment w:val="auto"/>
              <w:rPr>
                <w:rFonts w:ascii="宋体" w:hAnsi="宋体" w:cs="宋体"/>
                <w:bCs/>
                <w:sz w:val="24"/>
                <w:szCs w:val="24"/>
                <w:lang w:val="zh-CN"/>
              </w:rPr>
            </w:pPr>
            <w:r>
              <w:rPr>
                <w:rFonts w:hint="eastAsia" w:ascii="宋体" w:hAnsi="宋体" w:cs="微软雅黑"/>
                <w:b/>
                <w:sz w:val="24"/>
                <w:szCs w:val="24"/>
              </w:rPr>
              <w:t>★</w:t>
            </w:r>
            <w:r>
              <w:rPr>
                <w:rFonts w:hint="eastAsia" w:ascii="宋体" w:hAnsi="宋体" w:cs="宋体"/>
                <w:bCs/>
                <w:sz w:val="24"/>
                <w:szCs w:val="24"/>
                <w:lang w:val="zh-CN"/>
              </w:rPr>
              <w:t>最高限价</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宋体"/>
                <w:bCs/>
                <w:sz w:val="24"/>
                <w:szCs w:val="24"/>
                <w:lang w:val="zh-CN"/>
              </w:rPr>
            </w:pPr>
            <w:r>
              <w:rPr>
                <w:rFonts w:ascii="宋体" w:hAnsi="宋体" w:cs="仿宋_GB2312"/>
                <w:sz w:val="24"/>
                <w:szCs w:val="24"/>
                <w:shd w:val="clear" w:color="auto" w:fill="FFFFFF"/>
              </w:rPr>
              <w:t>49.4505</w:t>
            </w:r>
            <w:r>
              <w:rPr>
                <w:rFonts w:hint="eastAsia" w:ascii="宋体" w:hAnsi="宋体" w:cs="仿宋_GB2312"/>
                <w:sz w:val="24"/>
                <w:szCs w:val="24"/>
                <w:shd w:val="clear" w:color="auto" w:fill="FFFFFF"/>
              </w:rPr>
              <w:t>万元。</w:t>
            </w:r>
            <w:r>
              <w:rPr>
                <w:rFonts w:hint="eastAsia" w:ascii="宋体" w:hAnsi="宋体" w:cs="宋体"/>
                <w:bCs/>
                <w:sz w:val="24"/>
                <w:szCs w:val="24"/>
                <w:lang w:val="zh-CN"/>
              </w:rPr>
              <w:t>超出最高限价的投标无效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7</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宋体"/>
                <w:bCs/>
                <w:sz w:val="24"/>
                <w:szCs w:val="24"/>
                <w:lang w:val="zh-CN"/>
              </w:rPr>
            </w:pPr>
            <w:r>
              <w:rPr>
                <w:rFonts w:ascii="宋体" w:hAnsi="宋体" w:cs="宋体"/>
                <w:bCs/>
                <w:sz w:val="24"/>
                <w:szCs w:val="24"/>
                <w:lang w:val="zh-CN"/>
              </w:rPr>
              <w:t>现场考察</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宋体"/>
                <w:kern w:val="0"/>
                <w:sz w:val="24"/>
                <w:szCs w:val="24"/>
                <w:lang w:val="zh-CN"/>
              </w:rPr>
            </w:pPr>
            <w:r>
              <w:rPr>
                <w:rFonts w:hint="eastAsia" w:ascii="宋体" w:hAnsi="宋体" w:cs="宋体"/>
                <w:bCs/>
                <w:sz w:val="24"/>
                <w:szCs w:val="24"/>
                <w:lang w:val="zh-CN"/>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8</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宋体"/>
                <w:bCs/>
                <w:sz w:val="24"/>
                <w:szCs w:val="24"/>
                <w:lang w:val="zh-CN"/>
              </w:rPr>
            </w:pPr>
            <w:r>
              <w:rPr>
                <w:rFonts w:ascii="宋体" w:hAnsi="宋体" w:cs="宋体"/>
                <w:bCs/>
                <w:sz w:val="24"/>
                <w:szCs w:val="24"/>
                <w:lang w:val="zh-CN"/>
              </w:rPr>
              <w:t>开标前答疑会</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宋体"/>
                <w:kern w:val="0"/>
                <w:sz w:val="24"/>
                <w:szCs w:val="24"/>
                <w:lang w:val="zh-CN"/>
              </w:rPr>
            </w:pPr>
            <w:r>
              <w:rPr>
                <w:rFonts w:hint="eastAsia" w:ascii="宋体" w:hAnsi="宋体" w:cs="宋体"/>
                <w:bCs/>
                <w:sz w:val="24"/>
                <w:szCs w:val="24"/>
                <w:lang w:val="zh-CN"/>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9</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仿宋_GB2312"/>
                <w:sz w:val="24"/>
                <w:szCs w:val="24"/>
              </w:rPr>
            </w:pPr>
            <w:r>
              <w:rPr>
                <w:rFonts w:hint="eastAsia" w:ascii="宋体" w:hAnsi="宋体" w:cs="仿宋_GB2312"/>
                <w:sz w:val="24"/>
                <w:szCs w:val="24"/>
              </w:rPr>
              <w:t>进口产品参与</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sz w:val="24"/>
                <w:szCs w:val="24"/>
              </w:rPr>
            </w:pPr>
            <w:r>
              <w:rPr>
                <w:rFonts w:hint="eastAsia" w:ascii="宋体" w:hAnsi="宋体" w:cs="宋体"/>
                <w:bCs/>
                <w:sz w:val="24"/>
                <w:szCs w:val="24"/>
                <w:lang w:val="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10</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仿宋_GB2312"/>
                <w:sz w:val="24"/>
                <w:szCs w:val="24"/>
              </w:rPr>
            </w:pPr>
            <w:r>
              <w:rPr>
                <w:rFonts w:hint="eastAsia" w:ascii="宋体" w:hAnsi="宋体" w:cs="微软雅黑"/>
                <w:b/>
                <w:sz w:val="24"/>
                <w:szCs w:val="24"/>
              </w:rPr>
              <w:t>★</w:t>
            </w:r>
            <w:r>
              <w:rPr>
                <w:rFonts w:hint="eastAsia" w:ascii="宋体" w:hAnsi="宋体" w:cs="仿宋_GB2312"/>
                <w:sz w:val="24"/>
                <w:szCs w:val="24"/>
              </w:rPr>
              <w:t>投标有效期</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仿宋_GB2312"/>
                <w:sz w:val="24"/>
                <w:szCs w:val="24"/>
              </w:rPr>
            </w:pPr>
            <w:r>
              <w:rPr>
                <w:rFonts w:hint="eastAsia" w:ascii="宋体" w:hAnsi="宋体" w:cs="仿宋_GB2312"/>
                <w:sz w:val="24"/>
                <w:szCs w:val="24"/>
              </w:rPr>
              <w:t>60天（自</w:t>
            </w:r>
            <w:r>
              <w:rPr>
                <w:rFonts w:hint="eastAsia" w:ascii="宋体" w:hAnsi="宋体" w:cs="宋体"/>
                <w:kern w:val="0"/>
                <w:sz w:val="24"/>
                <w:szCs w:val="24"/>
              </w:rPr>
              <w:t>提交响应文件的截止之日起算</w:t>
            </w:r>
            <w:r>
              <w:rPr>
                <w:rFonts w:hint="eastAsia" w:ascii="宋体" w:hAnsi="宋体" w:cs="仿宋_GB2312"/>
                <w:sz w:val="24"/>
                <w:szCs w:val="24"/>
              </w:rPr>
              <w:t>）</w:t>
            </w:r>
          </w:p>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仿宋_GB2312"/>
                <w:sz w:val="24"/>
                <w:szCs w:val="24"/>
              </w:rPr>
            </w:pPr>
            <w:r>
              <w:rPr>
                <w:rFonts w:ascii="宋体" w:hAnsi="宋体" w:cs="仿宋_GB2312"/>
                <w:sz w:val="24"/>
                <w:szCs w:val="24"/>
                <w:lang w:val="zh-CN"/>
              </w:rPr>
              <w:t>成交人</w:t>
            </w:r>
            <w:r>
              <w:rPr>
                <w:rFonts w:hint="eastAsia" w:ascii="宋体" w:hAnsi="宋体" w:cs="仿宋_GB2312"/>
                <w:sz w:val="24"/>
                <w:szCs w:val="24"/>
                <w:lang w:val="zh-CN"/>
              </w:rPr>
              <w:t>投标</w:t>
            </w:r>
            <w:r>
              <w:rPr>
                <w:rFonts w:ascii="宋体" w:hAnsi="宋体" w:cs="仿宋_GB2312"/>
                <w:sz w:val="24"/>
                <w:szCs w:val="24"/>
                <w:lang w:val="zh-CN"/>
              </w:rPr>
              <w:t>有效期延</w:t>
            </w:r>
            <w:r>
              <w:rPr>
                <w:rFonts w:hint="eastAsia" w:ascii="宋体" w:hAnsi="宋体" w:cs="仿宋_GB2312"/>
                <w:sz w:val="24"/>
                <w:szCs w:val="24"/>
                <w:lang w:val="zh-CN"/>
              </w:rPr>
              <w:t>至合同</w:t>
            </w:r>
            <w:r>
              <w:rPr>
                <w:rFonts w:ascii="宋体" w:hAnsi="宋体" w:cs="仿宋_GB2312"/>
                <w:sz w:val="24"/>
                <w:szCs w:val="24"/>
                <w:lang w:val="zh-CN"/>
              </w:rPr>
              <w:t>验收之日</w:t>
            </w:r>
            <w:r>
              <w:rPr>
                <w:rFonts w:hint="eastAsia" w:ascii="宋体" w:hAnsi="宋体" w:cs="仿宋_GB2312"/>
                <w:sz w:val="24"/>
                <w:szCs w:val="24"/>
                <w:lang w:val="zh-CN"/>
              </w:rPr>
              <w:t>，</w:t>
            </w:r>
            <w:r>
              <w:rPr>
                <w:rFonts w:hint="eastAsia" w:ascii="宋体" w:hAnsi="宋体" w:cs="宋体"/>
                <w:kern w:val="0"/>
                <w:sz w:val="24"/>
                <w:szCs w:val="24"/>
              </w:rPr>
              <w:t>成交人全部合同义务履行完毕为止。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11</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宋体"/>
                <w:bCs/>
                <w:sz w:val="24"/>
                <w:szCs w:val="24"/>
                <w:lang w:val="zh-CN"/>
              </w:rPr>
            </w:pPr>
            <w:r>
              <w:rPr>
                <w:rFonts w:ascii="宋体" w:hAnsi="宋体" w:cs="宋体"/>
                <w:bCs/>
                <w:sz w:val="24"/>
                <w:szCs w:val="24"/>
                <w:lang w:val="zh-CN"/>
              </w:rPr>
              <w:t>成交人将本项目的非主体、非关键性</w:t>
            </w:r>
          </w:p>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仿宋_GB2312"/>
                <w:sz w:val="24"/>
                <w:szCs w:val="24"/>
              </w:rPr>
            </w:pPr>
            <w:r>
              <w:rPr>
                <w:rFonts w:ascii="宋体" w:hAnsi="宋体" w:cs="宋体"/>
                <w:bCs/>
                <w:sz w:val="24"/>
                <w:szCs w:val="24"/>
                <w:lang w:val="zh-CN"/>
              </w:rPr>
              <w:t>工作分包</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仿宋_GB2312"/>
                <w:sz w:val="24"/>
                <w:szCs w:val="24"/>
              </w:rPr>
            </w:pPr>
            <w:r>
              <w:rPr>
                <w:rFonts w:hint="eastAsia" w:ascii="宋体" w:hAnsi="宋体" w:cs="宋体"/>
                <w:bCs/>
                <w:sz w:val="24"/>
                <w:szCs w:val="24"/>
                <w:lang w:val="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12</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宋体"/>
                <w:bCs/>
                <w:sz w:val="24"/>
                <w:szCs w:val="24"/>
                <w:lang w:val="zh-CN"/>
              </w:rPr>
            </w:pPr>
            <w:r>
              <w:rPr>
                <w:rFonts w:hint="eastAsia" w:ascii="宋体" w:hAnsi="宋体" w:cs="宋体"/>
                <w:bCs/>
                <w:sz w:val="24"/>
                <w:szCs w:val="24"/>
                <w:lang w:val="zh-CN"/>
              </w:rPr>
              <w:t>投标截止及</w:t>
            </w:r>
          </w:p>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宋体"/>
                <w:bCs/>
                <w:sz w:val="24"/>
                <w:szCs w:val="24"/>
                <w:lang w:val="zh-CN"/>
              </w:rPr>
            </w:pPr>
            <w:r>
              <w:rPr>
                <w:rFonts w:hint="eastAsia" w:ascii="宋体" w:hAnsi="宋体" w:cs="宋体"/>
                <w:bCs/>
                <w:sz w:val="24"/>
                <w:szCs w:val="24"/>
                <w:lang w:val="zh-CN"/>
              </w:rPr>
              <w:t>开标时间</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宋体"/>
                <w:bCs/>
                <w:sz w:val="24"/>
                <w:szCs w:val="24"/>
                <w:lang w:val="zh-CN"/>
              </w:rPr>
            </w:pPr>
            <w:r>
              <w:rPr>
                <w:rFonts w:hint="eastAsia" w:ascii="宋体" w:hAnsi="宋体" w:cs="宋体"/>
                <w:bCs/>
                <w:sz w:val="24"/>
                <w:szCs w:val="24"/>
                <w:lang w:val="zh-CN"/>
              </w:rPr>
              <w:t>2019年</w:t>
            </w:r>
            <w:r>
              <w:rPr>
                <w:rFonts w:hint="eastAsia" w:ascii="宋体" w:hAnsi="宋体" w:cs="宋体"/>
                <w:bCs/>
                <w:sz w:val="24"/>
                <w:szCs w:val="24"/>
              </w:rPr>
              <w:t>8</w:t>
            </w:r>
            <w:r>
              <w:rPr>
                <w:rFonts w:hint="eastAsia" w:ascii="宋体" w:hAnsi="宋体" w:cs="宋体"/>
                <w:bCs/>
                <w:sz w:val="24"/>
                <w:szCs w:val="24"/>
                <w:lang w:val="zh-CN"/>
              </w:rPr>
              <w:t>月</w:t>
            </w:r>
            <w:r>
              <w:rPr>
                <w:rFonts w:hint="eastAsia" w:ascii="宋体" w:hAnsi="宋体" w:cs="宋体"/>
                <w:bCs/>
                <w:sz w:val="24"/>
                <w:szCs w:val="24"/>
              </w:rPr>
              <w:t>28</w:t>
            </w:r>
            <w:r>
              <w:rPr>
                <w:rFonts w:hint="eastAsia" w:ascii="宋体" w:hAnsi="宋体" w:cs="宋体"/>
                <w:bCs/>
                <w:sz w:val="24"/>
                <w:szCs w:val="24"/>
                <w:lang w:val="zh-CN"/>
              </w:rPr>
              <w:t>日</w:t>
            </w:r>
            <w:r>
              <w:rPr>
                <w:rFonts w:hint="eastAsia" w:ascii="宋体" w:hAnsi="宋体" w:cs="宋体"/>
                <w:bCs/>
                <w:sz w:val="24"/>
                <w:szCs w:val="24"/>
              </w:rPr>
              <w:t>9</w:t>
            </w:r>
            <w:r>
              <w:rPr>
                <w:rFonts w:hint="eastAsia" w:ascii="宋体" w:hAnsi="宋体" w:cs="宋体"/>
                <w:bCs/>
                <w:sz w:val="24"/>
                <w:szCs w:val="24"/>
                <w:lang w:val="zh-CN"/>
              </w:rPr>
              <w:t>时</w:t>
            </w:r>
            <w:r>
              <w:rPr>
                <w:rFonts w:hint="eastAsia" w:ascii="宋体" w:hAnsi="宋体" w:cs="宋体"/>
                <w:bCs/>
                <w:sz w:val="24"/>
                <w:szCs w:val="24"/>
              </w:rPr>
              <w:t>30</w:t>
            </w:r>
            <w:r>
              <w:rPr>
                <w:rFonts w:hint="eastAsia" w:ascii="宋体" w:hAnsi="宋体" w:cs="宋体"/>
                <w:bCs/>
                <w:sz w:val="24"/>
                <w:szCs w:val="24"/>
                <w:lang w:val="zh-CN"/>
              </w:rPr>
              <w:t>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13</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递交响应文件</w:t>
            </w:r>
          </w:p>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及开标地点</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宋体"/>
                <w:bCs/>
                <w:sz w:val="24"/>
                <w:szCs w:val="24"/>
                <w:lang w:val="zh-CN"/>
              </w:rPr>
            </w:pPr>
            <w:r>
              <w:rPr>
                <w:rFonts w:hint="eastAsia" w:ascii="宋体" w:hAnsi="宋体" w:cs="宋体"/>
                <w:sz w:val="24"/>
                <w:szCs w:val="24"/>
              </w:rPr>
              <w:t>许昌市许由路与文峰路取直段交叉口西北角建设银行7楼会议室）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14</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宋体"/>
                <w:bCs/>
                <w:sz w:val="24"/>
                <w:szCs w:val="24"/>
                <w:lang w:val="zh-CN"/>
              </w:rPr>
            </w:pPr>
            <w:r>
              <w:rPr>
                <w:rFonts w:hint="eastAsia" w:ascii="宋体" w:hAnsi="宋体" w:cs="宋体"/>
                <w:kern w:val="0"/>
                <w:sz w:val="24"/>
                <w:szCs w:val="24"/>
              </w:rPr>
              <w:t>投标保证金</w:t>
            </w:r>
          </w:p>
        </w:tc>
        <w:tc>
          <w:tcPr>
            <w:tcW w:w="6813" w:type="dxa"/>
            <w:vAlign w:val="center"/>
          </w:tcPr>
          <w:p>
            <w:pPr>
              <w:keepNext w:val="0"/>
              <w:keepLines w:val="0"/>
              <w:pageBreakBefore w:val="0"/>
              <w:tabs>
                <w:tab w:val="left" w:pos="1260"/>
              </w:tabs>
              <w:kinsoku/>
              <w:wordWrap/>
              <w:overflowPunct/>
              <w:topLinePunct w:val="0"/>
              <w:autoSpaceDE w:val="0"/>
              <w:autoSpaceDN w:val="0"/>
              <w:bidi w:val="0"/>
              <w:snapToGrid/>
              <w:spacing w:line="0" w:lineRule="atLeast"/>
              <w:contextualSpacing/>
              <w:textAlignment w:val="auto"/>
              <w:rPr>
                <w:rFonts w:ascii="宋体" w:hAnsi="宋体" w:cs="仿宋_GB2312"/>
                <w:sz w:val="24"/>
                <w:szCs w:val="24"/>
                <w:lang w:val="zh-CN"/>
              </w:rPr>
            </w:pPr>
            <w:r>
              <w:rPr>
                <w:rFonts w:hint="eastAsia" w:ascii="宋体" w:hAnsi="宋体" w:cs="仿宋_GB2312"/>
                <w:sz w:val="24"/>
                <w:szCs w:val="24"/>
                <w:lang w:val="zh-CN"/>
              </w:rPr>
              <w:t>无要求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15</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仿宋_GB2312"/>
                <w:sz w:val="24"/>
                <w:szCs w:val="24"/>
              </w:rPr>
              <w:t>采购人澄清或修改招标文件时间</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宋体"/>
                <w:bCs/>
                <w:sz w:val="24"/>
                <w:szCs w:val="24"/>
                <w:lang w:val="zh-CN"/>
              </w:rPr>
            </w:pPr>
            <w:r>
              <w:rPr>
                <w:rFonts w:hint="eastAsia" w:ascii="宋体" w:hAnsi="宋体" w:cs="宋体"/>
                <w:bCs/>
                <w:sz w:val="24"/>
                <w:szCs w:val="24"/>
                <w:lang w:val="zh-CN"/>
              </w:rPr>
              <w:t>投标截止时间</w:t>
            </w:r>
            <w:r>
              <w:rPr>
                <w:rFonts w:ascii="宋体" w:hAnsi="宋体" w:cs="宋体"/>
                <w:bCs/>
                <w:sz w:val="24"/>
                <w:szCs w:val="24"/>
                <w:lang w:val="zh-CN"/>
              </w:rPr>
              <w:t>5</w:t>
            </w:r>
            <w:r>
              <w:rPr>
                <w:rFonts w:hint="eastAsia" w:ascii="宋体" w:hAnsi="宋体" w:cs="宋体"/>
                <w:bCs/>
                <w:sz w:val="24"/>
                <w:szCs w:val="24"/>
                <w:lang w:val="zh-CN"/>
              </w:rPr>
              <w:t>日前（</w:t>
            </w:r>
            <w:r>
              <w:rPr>
                <w:rFonts w:hint="eastAsia" w:ascii="宋体" w:hAnsi="宋体" w:cs="仿宋_GB2312"/>
                <w:sz w:val="24"/>
                <w:szCs w:val="24"/>
                <w:lang w:val="zh-CN"/>
              </w:rPr>
              <w:t>澄清内容可能影响响应文件编制的）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16</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供应商对采购文件质疑截止时间</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宋体"/>
                <w:bCs/>
                <w:sz w:val="24"/>
                <w:szCs w:val="24"/>
                <w:lang w:val="zh-CN"/>
              </w:rPr>
            </w:pPr>
            <w:r>
              <w:rPr>
                <w:rFonts w:hint="eastAsia" w:ascii="宋体" w:hAnsi="宋体" w:cs="宋体"/>
                <w:bCs/>
                <w:sz w:val="24"/>
                <w:szCs w:val="24"/>
                <w:lang w:val="zh-CN"/>
              </w:rPr>
              <w:t>投标截止时间5日前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17</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响应文件份数</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新宋体" w:hAnsi="新宋体" w:eastAsia="新宋体"/>
                <w:sz w:val="24"/>
              </w:rPr>
            </w:pPr>
            <w:r>
              <w:rPr>
                <w:rFonts w:hint="eastAsia" w:ascii="新宋体" w:hAnsi="新宋体" w:eastAsia="新宋体"/>
                <w:sz w:val="24"/>
              </w:rPr>
              <w:t>纸质响应文件：</w:t>
            </w:r>
            <w:r>
              <w:rPr>
                <w:rFonts w:hint="eastAsia" w:ascii="宋体" w:hAnsi="宋体" w:cs="仿宋_GB2312"/>
                <w:sz w:val="24"/>
                <w:szCs w:val="24"/>
              </w:rPr>
              <w:t>正本</w:t>
            </w:r>
            <w:r>
              <w:rPr>
                <w:rFonts w:hint="eastAsia" w:ascii="宋体" w:hAnsi="宋体" w:cs="仿宋_GB2312"/>
                <w:b/>
                <w:sz w:val="24"/>
                <w:szCs w:val="24"/>
              </w:rPr>
              <w:t>一</w:t>
            </w:r>
            <w:r>
              <w:rPr>
                <w:rFonts w:hint="eastAsia" w:ascii="宋体" w:hAnsi="宋体" w:cs="仿宋_GB2312"/>
                <w:sz w:val="24"/>
                <w:szCs w:val="24"/>
              </w:rPr>
              <w:t>份，副本四份，副本可为正本的复印件。</w:t>
            </w:r>
          </w:p>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宋体"/>
                <w:bCs/>
                <w:sz w:val="24"/>
                <w:szCs w:val="24"/>
                <w:highlight w:val="lightGray"/>
                <w:lang w:val="zh-CN"/>
              </w:rPr>
            </w:pPr>
            <w:r>
              <w:rPr>
                <w:rFonts w:ascii="宋体" w:hAnsi="宋体" w:cs="宋体"/>
                <w:bCs/>
                <w:sz w:val="24"/>
                <w:szCs w:val="24"/>
                <w:lang w:val="zh-CN"/>
              </w:rPr>
              <w:t>电子版响应文件：使用</w:t>
            </w:r>
            <w:r>
              <w:rPr>
                <w:rFonts w:hint="eastAsia" w:ascii="宋体" w:hAnsi="宋体" w:cs="宋体"/>
                <w:bCs/>
                <w:sz w:val="24"/>
                <w:szCs w:val="24"/>
                <w:lang w:val="zh-CN"/>
              </w:rPr>
              <w:t>U盘存储的与纸质版响应文件一致的电子版响应文件1份。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18</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响应文件的</w:t>
            </w:r>
          </w:p>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签署盖章</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仿宋_GB2312"/>
                <w:sz w:val="24"/>
                <w:szCs w:val="24"/>
                <w:highlight w:val="lightGray"/>
              </w:rPr>
            </w:pPr>
            <w:r>
              <w:rPr>
                <w:rFonts w:hint="eastAsia" w:ascii="宋体" w:hAnsi="宋体" w:cs="仿宋_GB2312"/>
                <w:sz w:val="24"/>
                <w:szCs w:val="24"/>
              </w:rPr>
              <w:t>按照招标文件中提供的“响应文件格式”的要求签字、盖章。法定代表人或其授权代表签字并加盖单位公章，授权代表签字的，其法定代表人授权委托书须由法定代表人签署。（不需要逐页）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TimesNewRomanPSMT"/>
                <w:sz w:val="24"/>
                <w:szCs w:val="24"/>
              </w:rPr>
            </w:pPr>
            <w:r>
              <w:rPr>
                <w:rFonts w:hint="eastAsia" w:ascii="宋体" w:hAnsi="宋体" w:cs="TimesNewRomanPSMT"/>
                <w:sz w:val="24"/>
                <w:szCs w:val="24"/>
              </w:rPr>
              <w:t>20</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仿宋_GB2312"/>
                <w:sz w:val="24"/>
                <w:szCs w:val="24"/>
              </w:rPr>
            </w:pPr>
            <w:r>
              <w:rPr>
                <w:rFonts w:hint="eastAsia" w:ascii="宋体" w:hAnsi="宋体" w:cs="黑体"/>
                <w:sz w:val="24"/>
                <w:szCs w:val="24"/>
              </w:rPr>
              <w:t>评标委员会组建</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宋体"/>
                <w:bCs/>
                <w:sz w:val="24"/>
                <w:szCs w:val="24"/>
                <w:lang w:val="zh-CN"/>
              </w:rPr>
            </w:pPr>
            <w:r>
              <w:rPr>
                <w:rFonts w:hint="eastAsia" w:ascii="宋体" w:hAnsi="宋体" w:cs="仿宋_GB2312"/>
                <w:sz w:val="24"/>
                <w:szCs w:val="24"/>
                <w:lang w:val="zh-CN"/>
              </w:rPr>
              <w:t>由采购人代表和评审专家组成，其中评审专家的人数不少于</w:t>
            </w:r>
            <w:r>
              <w:rPr>
                <w:rFonts w:hint="eastAsia" w:ascii="宋体" w:hAnsi="宋体" w:cs="黑体"/>
                <w:sz w:val="24"/>
                <w:szCs w:val="24"/>
              </w:rPr>
              <w:t>评标委员会</w:t>
            </w:r>
            <w:r>
              <w:rPr>
                <w:rFonts w:hint="eastAsia" w:ascii="宋体" w:hAnsi="宋体" w:cs="仿宋_GB2312"/>
                <w:sz w:val="24"/>
                <w:szCs w:val="24"/>
                <w:lang w:val="zh-CN"/>
              </w:rPr>
              <w:t>成员总数的三分之二。评审专家从采购评审专家库中随机抽取。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6"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22</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宋体"/>
                <w:bCs/>
                <w:sz w:val="24"/>
                <w:szCs w:val="24"/>
                <w:lang w:val="zh-CN"/>
              </w:rPr>
            </w:pPr>
            <w:r>
              <w:rPr>
                <w:rFonts w:hint="eastAsia" w:ascii="宋体" w:hAnsi="宋体" w:cs="宋体"/>
                <w:bCs/>
                <w:sz w:val="24"/>
                <w:szCs w:val="24"/>
                <w:lang w:val="zh-CN"/>
              </w:rPr>
              <w:t>履约保证金</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宋体"/>
                <w:kern w:val="0"/>
                <w:sz w:val="24"/>
                <w:szCs w:val="24"/>
                <w:lang w:val="zh-CN"/>
              </w:rPr>
            </w:pPr>
            <w:r>
              <w:rPr>
                <w:rFonts w:hint="eastAsia" w:ascii="宋体" w:hAnsi="宋体" w:cs="宋体"/>
                <w:bCs/>
                <w:sz w:val="24"/>
                <w:szCs w:val="24"/>
                <w:lang w:val="zh-CN"/>
              </w:rPr>
              <w:t>无要求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23</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宋体"/>
                <w:bCs/>
                <w:sz w:val="24"/>
                <w:szCs w:val="24"/>
                <w:lang w:val="zh-CN"/>
              </w:rPr>
            </w:pPr>
            <w:r>
              <w:rPr>
                <w:rFonts w:hint="eastAsia" w:ascii="宋体" w:hAnsi="宋体" w:cs="宋体"/>
                <w:bCs/>
                <w:sz w:val="24"/>
                <w:szCs w:val="24"/>
                <w:lang w:val="zh-CN"/>
              </w:rPr>
              <w:t>代理服务费</w:t>
            </w:r>
          </w:p>
        </w:tc>
        <w:tc>
          <w:tcPr>
            <w:tcW w:w="6813" w:type="dxa"/>
            <w:vAlign w:val="center"/>
          </w:tcPr>
          <w:p>
            <w:pPr>
              <w:keepNext w:val="0"/>
              <w:keepLines w:val="0"/>
              <w:pageBreakBefore w:val="0"/>
              <w:kinsoku/>
              <w:wordWrap/>
              <w:overflowPunct/>
              <w:topLinePunct w:val="0"/>
              <w:autoSpaceDE w:val="0"/>
              <w:autoSpaceDN w:val="0"/>
              <w:bidi w:val="0"/>
              <w:snapToGrid/>
              <w:spacing w:line="0" w:lineRule="atLeast"/>
              <w:contextualSpacing/>
              <w:textAlignment w:val="auto"/>
              <w:rPr>
                <w:rFonts w:ascii="宋体" w:hAnsi="宋体" w:cs="宋体"/>
                <w:bCs/>
                <w:sz w:val="24"/>
                <w:szCs w:val="24"/>
                <w:lang w:val="zh-CN"/>
              </w:rPr>
            </w:pPr>
            <w:r>
              <w:rPr>
                <w:rFonts w:hint="eastAsia" w:ascii="宋体" w:hAnsi="宋体" w:cs="宋体"/>
                <w:bCs/>
                <w:sz w:val="24"/>
                <w:szCs w:val="24"/>
                <w:lang w:val="zh-CN"/>
              </w:rPr>
              <w:t>收取成交人。</w:t>
            </w:r>
            <w:r>
              <w:rPr>
                <w:rFonts w:hint="eastAsia" w:ascii="宋体" w:hAnsi="宋体" w:cs="宋体"/>
                <w:sz w:val="24"/>
                <w:szCs w:val="24"/>
              </w:rPr>
              <w:t>收取标准:中标合同金额的</w:t>
            </w:r>
            <w:r>
              <w:rPr>
                <w:rFonts w:hint="eastAsia" w:ascii="宋体" w:hAnsi="宋体" w:cs="宋体"/>
                <w:sz w:val="24"/>
                <w:szCs w:val="24"/>
                <w:u w:val="single"/>
              </w:rPr>
              <w:t>1.5%后的75%</w:t>
            </w:r>
            <w:r>
              <w:rPr>
                <w:rFonts w:hint="eastAsia" w:ascii="宋体" w:hAnsi="宋体" w:cs="宋体"/>
                <w:sz w:val="24"/>
                <w:szCs w:val="24"/>
              </w:rPr>
              <w:t>。一次性以银行划账、电汇、汇票或支票的形式支付。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806"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黑体"/>
                <w:sz w:val="24"/>
                <w:szCs w:val="24"/>
              </w:rPr>
            </w:pPr>
            <w:r>
              <w:rPr>
                <w:rFonts w:hint="eastAsia" w:ascii="宋体" w:hAnsi="宋体" w:cs="黑体"/>
                <w:sz w:val="24"/>
                <w:szCs w:val="24"/>
              </w:rPr>
              <w:t>24</w:t>
            </w:r>
          </w:p>
        </w:tc>
        <w:tc>
          <w:tcPr>
            <w:tcW w:w="2268" w:type="dxa"/>
            <w:vAlign w:val="center"/>
          </w:tcPr>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宋体"/>
                <w:bCs/>
                <w:sz w:val="24"/>
                <w:szCs w:val="24"/>
                <w:lang w:val="zh-CN"/>
              </w:rPr>
            </w:pPr>
            <w:r>
              <w:rPr>
                <w:rFonts w:hint="eastAsia" w:ascii="宋体" w:hAnsi="宋体" w:cs="宋体"/>
                <w:bCs/>
                <w:sz w:val="24"/>
                <w:szCs w:val="24"/>
                <w:lang w:val="zh-CN"/>
              </w:rPr>
              <w:t>成交人需提交</w:t>
            </w:r>
          </w:p>
          <w:p>
            <w:pPr>
              <w:keepNext w:val="0"/>
              <w:keepLines w:val="0"/>
              <w:pageBreakBefore w:val="0"/>
              <w:kinsoku/>
              <w:wordWrap/>
              <w:overflowPunct/>
              <w:topLinePunct w:val="0"/>
              <w:autoSpaceDE w:val="0"/>
              <w:autoSpaceDN w:val="0"/>
              <w:bidi w:val="0"/>
              <w:adjustRightInd w:val="0"/>
              <w:snapToGrid/>
              <w:spacing w:line="0" w:lineRule="atLeast"/>
              <w:jc w:val="center"/>
              <w:textAlignment w:val="auto"/>
              <w:rPr>
                <w:rFonts w:ascii="宋体" w:hAnsi="宋体" w:cs="宋体"/>
                <w:bCs/>
                <w:sz w:val="24"/>
                <w:szCs w:val="24"/>
                <w:lang w:val="zh-CN"/>
              </w:rPr>
            </w:pPr>
            <w:r>
              <w:rPr>
                <w:rFonts w:hint="eastAsia" w:ascii="宋体" w:hAnsi="宋体" w:cs="宋体"/>
                <w:bCs/>
                <w:sz w:val="24"/>
                <w:szCs w:val="24"/>
                <w:lang w:val="zh-CN"/>
              </w:rPr>
              <w:t>的资料</w:t>
            </w:r>
          </w:p>
        </w:tc>
        <w:tc>
          <w:tcPr>
            <w:tcW w:w="6813" w:type="dxa"/>
            <w:vAlign w:val="center"/>
          </w:tcPr>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宋体"/>
                <w:bCs/>
                <w:sz w:val="24"/>
                <w:szCs w:val="24"/>
                <w:lang w:val="zh-CN"/>
              </w:rPr>
            </w:pPr>
            <w:r>
              <w:rPr>
                <w:rFonts w:hint="eastAsia" w:ascii="宋体" w:hAnsi="宋体" w:cs="宋体"/>
                <w:bCs/>
                <w:sz w:val="24"/>
                <w:szCs w:val="24"/>
                <w:lang w:val="zh-CN"/>
              </w:rPr>
              <w:t>1、成交人须在评标结束之时24小时内向河南省伟信招标管理咨询有限公司发送最终分项报价一览表电子档，并同时电话通知工作人员。邮箱：</w:t>
            </w:r>
            <w:r>
              <w:fldChar w:fldCharType="begin"/>
            </w:r>
            <w:r>
              <w:instrText xml:space="preserve"> HYPERLINK "mailto:1571785@qq.com" </w:instrText>
            </w:r>
            <w:r>
              <w:fldChar w:fldCharType="separate"/>
            </w:r>
            <w:r>
              <w:rPr>
                <w:rStyle w:val="30"/>
                <w:rFonts w:hint="eastAsia" w:ascii="宋体" w:hAnsi="宋体" w:cs="宋体"/>
                <w:bCs/>
                <w:sz w:val="24"/>
                <w:szCs w:val="24"/>
                <w:lang w:val="zh-CN"/>
              </w:rPr>
              <w:t>1571785@qq.com</w:t>
            </w:r>
            <w:r>
              <w:fldChar w:fldCharType="end"/>
            </w:r>
            <w:r>
              <w:rPr>
                <w:rFonts w:hint="eastAsia" w:ascii="宋体" w:hAnsi="宋体" w:cs="宋体"/>
                <w:bCs/>
                <w:sz w:val="24"/>
                <w:szCs w:val="24"/>
                <w:lang w:val="zh-CN"/>
              </w:rPr>
              <w:t>。</w:t>
            </w:r>
          </w:p>
          <w:p>
            <w:pPr>
              <w:keepNext w:val="0"/>
              <w:keepLines w:val="0"/>
              <w:pageBreakBefore w:val="0"/>
              <w:kinsoku/>
              <w:wordWrap/>
              <w:overflowPunct/>
              <w:topLinePunct w:val="0"/>
              <w:autoSpaceDE w:val="0"/>
              <w:autoSpaceDN w:val="0"/>
              <w:bidi w:val="0"/>
              <w:adjustRightInd w:val="0"/>
              <w:snapToGrid/>
              <w:spacing w:line="0" w:lineRule="atLeast"/>
              <w:textAlignment w:val="auto"/>
              <w:rPr>
                <w:rFonts w:ascii="宋体" w:hAnsi="宋体" w:cs="宋体"/>
                <w:bCs/>
                <w:sz w:val="24"/>
                <w:szCs w:val="24"/>
                <w:lang w:val="zh-CN"/>
              </w:rPr>
            </w:pPr>
            <w:r>
              <w:rPr>
                <w:rFonts w:hint="eastAsia" w:ascii="宋体" w:hAnsi="宋体" w:cs="宋体"/>
                <w:bCs/>
                <w:sz w:val="24"/>
                <w:szCs w:val="24"/>
                <w:lang w:val="zh-CN"/>
              </w:rPr>
              <w:t>2、成交人在领取成交通知书时，须向河南省伟信招标管理咨询有限公司提供《领取中标（成交）通知书授权委托书》，授权委托书应包括被授权人的身份证复印件、联系方式等详细信息并加盖公章。</w:t>
            </w:r>
          </w:p>
        </w:tc>
      </w:tr>
    </w:tbl>
    <w:p>
      <w:pPr>
        <w:spacing w:line="360" w:lineRule="auto"/>
        <w:ind w:firstLine="3472" w:firstLineChars="1240"/>
        <w:rPr>
          <w:rFonts w:ascii="宋体" w:hAnsi="宋体" w:cs="宋体"/>
          <w:kern w:val="0"/>
          <w:sz w:val="28"/>
          <w:szCs w:val="28"/>
        </w:rPr>
      </w:pPr>
    </w:p>
    <w:p>
      <w:pPr>
        <w:widowControl/>
        <w:jc w:val="left"/>
        <w:rPr>
          <w:rFonts w:ascii="宋体" w:hAnsi="宋体" w:cs="宋体"/>
          <w:kern w:val="0"/>
          <w:sz w:val="28"/>
          <w:szCs w:val="28"/>
        </w:rPr>
      </w:pPr>
      <w:r>
        <w:rPr>
          <w:rFonts w:ascii="宋体" w:hAnsi="宋体" w:cs="宋体"/>
          <w:kern w:val="0"/>
          <w:sz w:val="28"/>
          <w:szCs w:val="28"/>
        </w:rPr>
        <w:br w:type="page"/>
      </w:r>
    </w:p>
    <w:p>
      <w:pPr>
        <w:pStyle w:val="2"/>
        <w:tabs>
          <w:tab w:val="clear" w:pos="5276"/>
        </w:tabs>
        <w:spacing w:line="720" w:lineRule="auto"/>
        <w:rPr>
          <w:sz w:val="44"/>
          <w:szCs w:val="44"/>
        </w:rPr>
      </w:pPr>
      <w:r>
        <w:rPr>
          <w:rFonts w:hint="eastAsia"/>
          <w:sz w:val="44"/>
          <w:szCs w:val="44"/>
        </w:rPr>
        <w:t>第四章  供应商须知</w:t>
      </w:r>
    </w:p>
    <w:p>
      <w:pPr>
        <w:keepNext w:val="0"/>
        <w:keepLines w:val="0"/>
        <w:pageBreakBefore w:val="0"/>
        <w:tabs>
          <w:tab w:val="left" w:pos="1260"/>
        </w:tabs>
        <w:kinsoku/>
        <w:wordWrap/>
        <w:overflowPunct/>
        <w:topLinePunct w:val="0"/>
        <w:autoSpaceDE w:val="0"/>
        <w:autoSpaceDN w:val="0"/>
        <w:bidi w:val="0"/>
        <w:adjustRightInd w:val="0"/>
        <w:snapToGrid/>
        <w:spacing w:beforeAutospacing="0" w:afterAutospacing="0" w:line="360" w:lineRule="auto"/>
        <w:ind w:firstLine="562" w:firstLineChars="200"/>
        <w:contextualSpacing/>
        <w:jc w:val="center"/>
        <w:rPr>
          <w:rFonts w:ascii="宋体" w:hAnsi="宋体" w:cs="宋体"/>
          <w:b/>
          <w:kern w:val="0"/>
          <w:sz w:val="28"/>
          <w:szCs w:val="28"/>
        </w:rPr>
      </w:pPr>
      <w:bookmarkStart w:id="3" w:name="_Toc457392794"/>
      <w:r>
        <w:rPr>
          <w:rFonts w:hint="eastAsia" w:ascii="宋体" w:hAnsi="宋体" w:cs="宋体"/>
          <w:b/>
          <w:kern w:val="0"/>
          <w:sz w:val="28"/>
          <w:szCs w:val="28"/>
        </w:rPr>
        <w:t>一、概念释义</w:t>
      </w:r>
    </w:p>
    <w:p>
      <w:pPr>
        <w:keepNext w:val="0"/>
        <w:keepLines w:val="0"/>
        <w:pageBreakBefore w:val="0"/>
        <w:kinsoku/>
        <w:wordWrap/>
        <w:overflowPunct/>
        <w:topLinePunct w:val="0"/>
        <w:autoSpaceDE w:val="0"/>
        <w:autoSpaceDN w:val="0"/>
        <w:bidi w:val="0"/>
        <w:snapToGrid/>
        <w:spacing w:beforeAutospacing="0" w:afterAutospacing="0" w:line="360" w:lineRule="auto"/>
        <w:ind w:firstLine="482" w:firstLineChars="200"/>
        <w:contextualSpacing/>
        <w:rPr>
          <w:rFonts w:ascii="宋体" w:hAnsi="宋体" w:cs="宋体"/>
          <w:b/>
          <w:kern w:val="0"/>
          <w:sz w:val="24"/>
          <w:szCs w:val="24"/>
        </w:rPr>
      </w:pPr>
      <w:r>
        <w:rPr>
          <w:rFonts w:hint="eastAsia" w:ascii="宋体" w:hAnsi="宋体" w:cs="宋体"/>
          <w:b/>
          <w:kern w:val="0"/>
          <w:sz w:val="24"/>
          <w:szCs w:val="24"/>
        </w:rPr>
        <w:t>1</w:t>
      </w:r>
      <w:r>
        <w:rPr>
          <w:rFonts w:ascii="宋体" w:hAnsi="宋体" w:cs="宋体"/>
          <w:b/>
          <w:kern w:val="0"/>
          <w:sz w:val="24"/>
          <w:szCs w:val="24"/>
        </w:rPr>
        <w:t>.</w:t>
      </w:r>
      <w:r>
        <w:rPr>
          <w:rFonts w:hint="eastAsia" w:ascii="宋体" w:hAnsi="宋体" w:cs="宋体"/>
          <w:b/>
          <w:kern w:val="0"/>
          <w:sz w:val="24"/>
          <w:szCs w:val="24"/>
        </w:rPr>
        <w:t>适用范围</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1.1本招标文件仅适用于本次“投标邀请”中所述采购项目。</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1.2本招标文件解释权属于“投标邀请”所述的采购人。</w:t>
      </w:r>
    </w:p>
    <w:p>
      <w:pPr>
        <w:keepNext w:val="0"/>
        <w:keepLines w:val="0"/>
        <w:pageBreakBefore w:val="0"/>
        <w:kinsoku/>
        <w:wordWrap/>
        <w:overflowPunct/>
        <w:topLinePunct w:val="0"/>
        <w:autoSpaceDE w:val="0"/>
        <w:autoSpaceDN w:val="0"/>
        <w:bidi w:val="0"/>
        <w:snapToGrid/>
        <w:spacing w:beforeAutospacing="0" w:afterAutospacing="0" w:line="360" w:lineRule="auto"/>
        <w:ind w:firstLine="482" w:firstLineChars="200"/>
        <w:contextualSpacing/>
        <w:rPr>
          <w:rFonts w:ascii="宋体" w:hAnsi="宋体" w:cs="宋体"/>
          <w:b/>
          <w:kern w:val="0"/>
          <w:sz w:val="24"/>
          <w:szCs w:val="24"/>
        </w:rPr>
      </w:pPr>
      <w:r>
        <w:rPr>
          <w:rFonts w:ascii="宋体" w:hAnsi="宋体" w:cs="宋体"/>
          <w:b/>
          <w:kern w:val="0"/>
          <w:sz w:val="24"/>
          <w:szCs w:val="24"/>
        </w:rPr>
        <w:t>2.</w:t>
      </w:r>
      <w:r>
        <w:rPr>
          <w:rFonts w:hint="eastAsia" w:ascii="宋体" w:hAnsi="宋体" w:cs="宋体"/>
          <w:b/>
          <w:kern w:val="0"/>
          <w:sz w:val="24"/>
          <w:szCs w:val="24"/>
        </w:rPr>
        <w:t>定义</w:t>
      </w:r>
    </w:p>
    <w:p>
      <w:pPr>
        <w:keepNext w:val="0"/>
        <w:keepLines w:val="0"/>
        <w:pageBreakBefore w:val="0"/>
        <w:kinsoku/>
        <w:wordWrap/>
        <w:overflowPunct/>
        <w:topLinePunct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2.1“采购项目”：“供应商须知前附表”中所述的采购项目。</w:t>
      </w:r>
    </w:p>
    <w:p>
      <w:pPr>
        <w:keepNext w:val="0"/>
        <w:keepLines w:val="0"/>
        <w:pageBreakBefore w:val="0"/>
        <w:kinsoku/>
        <w:wordWrap/>
        <w:overflowPunct/>
        <w:topLinePunct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2.2“采购人”：“供应商须知前附表”中所述的组织本次招标的代理机构和采购人。</w:t>
      </w:r>
    </w:p>
    <w:p>
      <w:pPr>
        <w:keepNext w:val="0"/>
        <w:keepLines w:val="0"/>
        <w:pageBreakBefore w:val="0"/>
        <w:kinsoku/>
        <w:wordWrap/>
        <w:overflowPunct/>
        <w:topLinePunct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2.3“采购人”：是指依法进行采购的国家机关、事业单位、团体组织等。采购人名称、地址、电话、联系人见“供应商须知前附表”。</w:t>
      </w:r>
    </w:p>
    <w:p>
      <w:pPr>
        <w:keepNext w:val="0"/>
        <w:keepLines w:val="0"/>
        <w:pageBreakBefore w:val="0"/>
        <w:kinsoku/>
        <w:wordWrap/>
        <w:overflowPunct/>
        <w:topLinePunct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2.4“代理机构”：接受采购人委托，代理采购项目的采购代理机构。代理机构名称、地址、电话、联系人见“供应商须知前附表”。</w:t>
      </w:r>
    </w:p>
    <w:p>
      <w:pPr>
        <w:keepNext w:val="0"/>
        <w:keepLines w:val="0"/>
        <w:pageBreakBefore w:val="0"/>
        <w:kinsoku/>
        <w:wordWrap/>
        <w:overflowPunct/>
        <w:topLinePunct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sz w:val="24"/>
          <w:szCs w:val="24"/>
        </w:rPr>
        <w:t>采购代理机构及其分支机构不得在所代理的采购项目中投标或者代理投标</w:t>
      </w:r>
      <w:r>
        <w:rPr>
          <w:rFonts w:hint="eastAsia" w:ascii="宋体" w:hAnsi="宋体" w:cs="宋体"/>
          <w:kern w:val="0"/>
          <w:sz w:val="24"/>
          <w:szCs w:val="24"/>
        </w:rPr>
        <w:t>，不得为所代理的采购项目的供应商参加本项目提供投标咨询。</w:t>
      </w:r>
    </w:p>
    <w:p>
      <w:pPr>
        <w:keepNext w:val="0"/>
        <w:keepLines w:val="0"/>
        <w:pageBreakBefore w:val="0"/>
        <w:kinsoku/>
        <w:wordWrap/>
        <w:overflowPunct/>
        <w:topLinePunct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2.5 “潜在供应商”指符合相关法律法规和本招标文件的各项规定，且按照本项目招标公告及招标文件规定的方式获取招标文件的法人、其他组织或者自然人。</w:t>
      </w:r>
    </w:p>
    <w:p>
      <w:pPr>
        <w:keepNext w:val="0"/>
        <w:keepLines w:val="0"/>
        <w:pageBreakBefore w:val="0"/>
        <w:kinsoku/>
        <w:wordWrap/>
        <w:overflowPunct/>
        <w:topLinePunct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2.6“供应商”：是指符合相关法律法规和本招标文件的各项规定，响应招标、参加投标竞争，从采购人处按规定获取招标文件，并按照招标文件要求向采购人提交投标文件的法人、其他组织或者自然人。</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2.7“节能产品”或者“环保产品”：财政部发布的《节能产品政府采购清单》或者《环境标志产品政府采购清单》的产品。</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2.8 招标文件中凡标有“★”的条款均系实质性要求条款。</w:t>
      </w:r>
    </w:p>
    <w:p>
      <w:pPr>
        <w:keepNext w:val="0"/>
        <w:keepLines w:val="0"/>
        <w:pageBreakBefore w:val="0"/>
        <w:kinsoku/>
        <w:wordWrap/>
        <w:overflowPunct/>
        <w:topLinePunct w:val="0"/>
        <w:autoSpaceDE w:val="0"/>
        <w:autoSpaceDN w:val="0"/>
        <w:bidi w:val="0"/>
        <w:snapToGrid/>
        <w:spacing w:beforeAutospacing="0" w:afterAutospacing="0" w:line="360" w:lineRule="auto"/>
        <w:ind w:firstLine="482" w:firstLineChars="200"/>
        <w:contextualSpacing/>
        <w:rPr>
          <w:rFonts w:ascii="宋体" w:hAnsi="宋体" w:cs="宋体"/>
          <w:b/>
          <w:kern w:val="0"/>
          <w:sz w:val="24"/>
          <w:szCs w:val="24"/>
        </w:rPr>
      </w:pPr>
      <w:r>
        <w:rPr>
          <w:rFonts w:hint="eastAsia" w:ascii="宋体" w:hAnsi="宋体" w:cs="宋体"/>
          <w:b/>
          <w:kern w:val="0"/>
          <w:sz w:val="24"/>
          <w:szCs w:val="24"/>
        </w:rPr>
        <w:t>3.合格的供应商</w:t>
      </w:r>
    </w:p>
    <w:p>
      <w:pPr>
        <w:pStyle w:val="37"/>
        <w:keepNext w:val="0"/>
        <w:keepLines w:val="0"/>
        <w:pageBreakBefore w:val="0"/>
        <w:numPr>
          <w:ilvl w:val="0"/>
          <w:numId w:val="0"/>
        </w:numPr>
        <w:tabs>
          <w:tab w:val="left" w:pos="0"/>
        </w:tabs>
        <w:kinsoku/>
        <w:wordWrap/>
        <w:overflowPunct/>
        <w:topLinePunct w:val="0"/>
        <w:bidi w:val="0"/>
        <w:adjustRightInd/>
        <w:snapToGrid/>
        <w:spacing w:beforeAutospacing="0" w:afterAutospacing="0" w:line="360" w:lineRule="auto"/>
        <w:ind w:firstLine="480" w:firstLineChars="200"/>
        <w:contextualSpacing/>
        <w:rPr>
          <w:rFonts w:ascii="宋体" w:hAnsi="宋体" w:eastAsia="宋体" w:cs="宋体"/>
          <w:sz w:val="24"/>
          <w:szCs w:val="24"/>
        </w:rPr>
      </w:pPr>
      <w:r>
        <w:rPr>
          <w:rFonts w:hint="eastAsia" w:ascii="宋体" w:hAnsi="宋体" w:eastAsia="宋体" w:cs="宋体"/>
          <w:sz w:val="24"/>
          <w:szCs w:val="24"/>
        </w:rPr>
        <w:t>3.1在中华人民共和国境内注册，具有本项目服务、供应或实施能力，符合、承认并承诺履行本招标文件各项规定的法人、其他组织或者自然人。</w:t>
      </w:r>
    </w:p>
    <w:p>
      <w:pPr>
        <w:keepNext w:val="0"/>
        <w:keepLines w:val="0"/>
        <w:pageBreakBefore w:val="0"/>
        <w:kinsoku/>
        <w:wordWrap/>
        <w:overflowPunct/>
        <w:topLinePunct w:val="0"/>
        <w:bidi w:val="0"/>
        <w:snapToGrid/>
        <w:spacing w:beforeAutospacing="0" w:afterAutospacing="0" w:line="360" w:lineRule="auto"/>
        <w:ind w:firstLine="480" w:firstLineChars="200"/>
        <w:contextualSpacing/>
        <w:rPr>
          <w:rFonts w:ascii="宋体" w:hAnsi="宋体" w:cs="宋体"/>
          <w:kern w:val="0"/>
          <w:sz w:val="24"/>
          <w:szCs w:val="24"/>
        </w:rPr>
      </w:pPr>
      <w:r>
        <w:rPr>
          <w:rFonts w:ascii="宋体" w:hAnsi="宋体" w:cs="宋体"/>
          <w:kern w:val="0"/>
          <w:sz w:val="24"/>
          <w:szCs w:val="24"/>
        </w:rPr>
        <w:t>3.</w:t>
      </w:r>
      <w:r>
        <w:rPr>
          <w:rFonts w:hint="eastAsia" w:ascii="宋体" w:hAnsi="宋体" w:cs="宋体"/>
          <w:kern w:val="0"/>
          <w:sz w:val="24"/>
          <w:szCs w:val="24"/>
        </w:rPr>
        <w:t>2符合本项目“投标邀请”和“供应商须知前附表”中规定的合格供应商所必须具备的条件。</w:t>
      </w:r>
    </w:p>
    <w:p>
      <w:pPr>
        <w:pStyle w:val="16"/>
        <w:keepNext w:val="0"/>
        <w:keepLines w:val="0"/>
        <w:pageBreakBefore w:val="0"/>
        <w:widowControl/>
        <w:shd w:val="clear" w:color="auto" w:fill="FFFFFF"/>
        <w:kinsoku/>
        <w:wordWrap/>
        <w:overflowPunct/>
        <w:topLinePunct w:val="0"/>
        <w:bidi w:val="0"/>
        <w:snapToGrid/>
        <w:spacing w:beforeAutospacing="0" w:afterAutospacing="0" w:line="360" w:lineRule="auto"/>
        <w:ind w:firstLine="480" w:firstLineChars="200"/>
        <w:contextualSpacing/>
        <w:rPr>
          <w:rFonts w:ascii="宋体" w:hAnsi="宋体" w:cs="宋体"/>
          <w:b/>
        </w:rPr>
      </w:pPr>
      <w:r>
        <w:rPr>
          <w:rFonts w:ascii="宋体" w:hAnsi="宋体" w:cs="宋体"/>
        </w:rPr>
        <w:t>3.</w:t>
      </w:r>
      <w:r>
        <w:rPr>
          <w:rFonts w:hint="eastAsia" w:ascii="宋体" w:hAnsi="宋体" w:cs="宋体"/>
        </w:rPr>
        <w:t>3采购活动中查询及使用供应商信用记录的具体要求为：供应商未被列入失信被执行人、重大税收违法案件当事人名单、</w:t>
      </w:r>
      <w:r>
        <w:rPr>
          <w:rFonts w:ascii="宋体" w:hAnsi="宋体" w:cs="仿宋_GB2312"/>
          <w:shd w:val="clear" w:color="auto" w:fill="FFFFFF"/>
        </w:rPr>
        <w:t>政府采购严重违法失信名单</w:t>
      </w:r>
      <w:r>
        <w:rPr>
          <w:rFonts w:hint="eastAsia" w:ascii="宋体" w:hAnsi="宋体" w:cs="宋体"/>
        </w:rPr>
        <w:t>、</w:t>
      </w:r>
      <w:r>
        <w:rPr>
          <w:rFonts w:hint="eastAsia" w:ascii="宋体" w:hAnsi="宋体" w:cs="仿宋_GB2312"/>
          <w:b/>
          <w:shd w:val="clear" w:color="auto" w:fill="FFFFFF"/>
        </w:rPr>
        <w:t>严重违法失信企业名单（黑名单）</w:t>
      </w:r>
      <w:r>
        <w:rPr>
          <w:rFonts w:hint="eastAsia" w:ascii="宋体" w:hAnsi="宋体" w:cs="宋体"/>
        </w:rPr>
        <w:t>。</w:t>
      </w:r>
      <w:r>
        <w:rPr>
          <w:rFonts w:hint="eastAsia" w:ascii="宋体" w:hAnsi="宋体" w:cs="宋体"/>
          <w:b/>
        </w:rPr>
        <w:t>(本项目投标截止时间前三年内供应商信用记录情况)</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（1）查询渠道：“信用中国”网站（</w:t>
      </w:r>
      <w:r>
        <w:rPr>
          <w:rFonts w:ascii="宋体" w:hAnsi="宋体" w:cs="宋体"/>
          <w:kern w:val="0"/>
          <w:sz w:val="24"/>
          <w:szCs w:val="24"/>
        </w:rPr>
        <w:t>www.creditchina.gov.cn</w:t>
      </w:r>
      <w:r>
        <w:rPr>
          <w:rFonts w:hint="eastAsia" w:ascii="宋体" w:hAnsi="宋体" w:cs="宋体"/>
          <w:kern w:val="0"/>
          <w:sz w:val="24"/>
          <w:szCs w:val="24"/>
        </w:rPr>
        <w:t>）和 “</w:t>
      </w:r>
      <w:r>
        <w:rPr>
          <w:rFonts w:hint="eastAsia" w:ascii="宋体" w:hAnsi="宋体" w:cs="宋体"/>
          <w:kern w:val="0"/>
          <w:sz w:val="24"/>
          <w:szCs w:val="24"/>
          <w:lang w:val="zh-CN"/>
        </w:rPr>
        <w:t>国家企业信用公示系统</w:t>
      </w:r>
      <w:r>
        <w:rPr>
          <w:rFonts w:hint="eastAsia" w:ascii="宋体" w:hAnsi="宋体" w:cs="宋体"/>
          <w:kern w:val="0"/>
          <w:sz w:val="24"/>
          <w:szCs w:val="24"/>
        </w:rPr>
        <w:t>”</w:t>
      </w:r>
      <w:r>
        <w:rPr>
          <w:rFonts w:hint="eastAsia" w:ascii="宋体" w:hAnsi="宋体" w:cs="宋体"/>
          <w:kern w:val="0"/>
          <w:sz w:val="24"/>
          <w:szCs w:val="24"/>
          <w:lang w:val="zh-CN"/>
        </w:rPr>
        <w:t>网站</w:t>
      </w:r>
      <w:r>
        <w:rPr>
          <w:rFonts w:hint="eastAsia" w:ascii="宋体" w:hAnsi="宋体" w:cs="宋体"/>
          <w:kern w:val="0"/>
          <w:sz w:val="24"/>
          <w:szCs w:val="24"/>
        </w:rPr>
        <w:t>（</w:t>
      </w:r>
      <w:r>
        <w:rPr>
          <w:rFonts w:ascii="宋体" w:hAnsi="宋体" w:cs="宋体"/>
          <w:kern w:val="0"/>
          <w:sz w:val="24"/>
          <w:szCs w:val="24"/>
        </w:rPr>
        <w:t>www.gsxt.gov.cn</w:t>
      </w:r>
      <w:r>
        <w:rPr>
          <w:rFonts w:hint="eastAsia" w:ascii="宋体" w:hAnsi="宋体" w:cs="宋体"/>
          <w:kern w:val="0"/>
          <w:sz w:val="24"/>
          <w:szCs w:val="24"/>
        </w:rPr>
        <w:t>）；</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（2）截止时间：同投标截止时间；</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（3）信用信息查询记录和证据留存具体方式：经采购人确认的查询结果网页截图作为查询记录和证据，与其他采购文件一并保存；</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（4）信用信息的使用原则：经采购人认定的被列入失信被执行人、重大税收违法案件当事人名单、政府采购严重违法失信名单的供应商、严重违法失信企业名单（黑名单）的供应商，将拒绝其参与采购活动。</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（5）供应商不良信用记录以采购人查询结果为准，采购人查询之后，网站信息发生的任何变更不再作为评审依据，供应商自行提供的与网站信息不一致的其他证明材料亦不作为评审依据。</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ascii="宋体" w:hAnsi="宋体" w:cs="宋体"/>
          <w:kern w:val="0"/>
          <w:sz w:val="24"/>
          <w:szCs w:val="24"/>
        </w:rPr>
        <w:t>3.</w:t>
      </w:r>
      <w:r>
        <w:rPr>
          <w:rFonts w:hint="eastAsia" w:ascii="宋体" w:hAnsi="宋体" w:cs="宋体"/>
          <w:kern w:val="0"/>
          <w:sz w:val="24"/>
          <w:szCs w:val="24"/>
        </w:rPr>
        <w:t>4单位负责人为同一人或者存在直接控股、管理关系的不同供应商，不得参加同一合同项下的采购活动；</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ascii="宋体" w:hAnsi="宋体" w:cs="宋体"/>
          <w:kern w:val="0"/>
          <w:sz w:val="24"/>
          <w:szCs w:val="24"/>
        </w:rPr>
        <w:t>3.</w:t>
      </w:r>
      <w:r>
        <w:rPr>
          <w:rFonts w:hint="eastAsia" w:ascii="宋体" w:hAnsi="宋体" w:cs="宋体"/>
          <w:kern w:val="0"/>
          <w:sz w:val="24"/>
          <w:szCs w:val="24"/>
        </w:rPr>
        <w:t>5除单一来源采购项目外，为采购项目提供整体设计、规范编制或者项目管理、监理、检测等服务的供应商，不得再参加该采购项目的其他采购活动。</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ascii="宋体" w:hAnsi="宋体" w:cs="宋体"/>
          <w:kern w:val="0"/>
          <w:sz w:val="24"/>
          <w:szCs w:val="24"/>
        </w:rPr>
        <w:t>3.</w:t>
      </w:r>
      <w:r>
        <w:rPr>
          <w:rFonts w:hint="eastAsia" w:ascii="宋体" w:hAnsi="宋体" w:cs="宋体"/>
          <w:kern w:val="0"/>
          <w:sz w:val="24"/>
          <w:szCs w:val="24"/>
        </w:rPr>
        <w:t>6“投标邀请”和“供应商须知前附表”规定接受联合体投标的，除应符合本章第</w:t>
      </w:r>
      <w:r>
        <w:rPr>
          <w:rFonts w:ascii="宋体" w:hAnsi="宋体" w:cs="宋体"/>
          <w:kern w:val="0"/>
          <w:sz w:val="24"/>
          <w:szCs w:val="24"/>
        </w:rPr>
        <w:t>3.1</w:t>
      </w:r>
      <w:r>
        <w:rPr>
          <w:rFonts w:hint="eastAsia" w:ascii="宋体" w:hAnsi="宋体" w:cs="宋体"/>
          <w:kern w:val="0"/>
          <w:sz w:val="24"/>
          <w:szCs w:val="24"/>
        </w:rPr>
        <w:t>项和3.2项要求外，还应遵守以下规定：</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（1）在投标文件中向采购人提交联合体协议书，明确联合体各方承担的工作和义务；</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（2）联合体中有同类资质的供应商按联合体分工承担相同工作的，应当按照资质等级较低的供应商确定资质等级；</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（3）采购人根据采购项目的特殊要求规定供应商特定条件的，联合体各方中至少应当有一方符合采购规定的特定条件。</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（4）联合体各方不得再单独参加或者与其他供应商另外组成联合体参加同一合同项下的采购活动。</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（5）</w:t>
      </w:r>
      <w:r>
        <w:rPr>
          <w:rFonts w:ascii="宋体" w:hAnsi="宋体" w:cs="宋体"/>
          <w:kern w:val="0"/>
          <w:sz w:val="24"/>
          <w:szCs w:val="24"/>
        </w:rPr>
        <w:t>联合体各方应当共同与采购人签订采购合同，就采购合同约定的事项对采购人</w:t>
      </w:r>
      <w:r>
        <w:fldChar w:fldCharType="begin"/>
      </w:r>
      <w:r>
        <w:instrText xml:space="preserve"> HYPERLINK "https://baike.baidu.com/item/%E6%89%BF%E6%8B%85%E8%BF%9E%E5%B8%A6%E8%B4%A3%E4%BB%BB" \t "_blank" </w:instrText>
      </w:r>
      <w:r>
        <w:fldChar w:fldCharType="separate"/>
      </w:r>
      <w:r>
        <w:rPr>
          <w:rFonts w:ascii="宋体" w:hAnsi="宋体" w:cs="宋体"/>
          <w:kern w:val="0"/>
          <w:sz w:val="24"/>
          <w:szCs w:val="24"/>
        </w:rPr>
        <w:t>承担连带责任</w:t>
      </w:r>
      <w:r>
        <w:fldChar w:fldCharType="end"/>
      </w:r>
      <w:r>
        <w:rPr>
          <w:rFonts w:ascii="宋体" w:hAnsi="宋体" w:cs="宋体"/>
          <w:kern w:val="0"/>
          <w:sz w:val="24"/>
          <w:szCs w:val="24"/>
        </w:rPr>
        <w:t>。</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3.7 法律、行政法规规定的其他条件。</w:t>
      </w:r>
    </w:p>
    <w:p>
      <w:pPr>
        <w:keepNext w:val="0"/>
        <w:keepLines w:val="0"/>
        <w:pageBreakBefore w:val="0"/>
        <w:kinsoku/>
        <w:wordWrap/>
        <w:overflowPunct/>
        <w:topLinePunct w:val="0"/>
        <w:autoSpaceDE w:val="0"/>
        <w:autoSpaceDN w:val="0"/>
        <w:bidi w:val="0"/>
        <w:snapToGrid/>
        <w:spacing w:beforeAutospacing="0" w:afterAutospacing="0" w:line="360" w:lineRule="auto"/>
        <w:ind w:firstLine="482" w:firstLineChars="200"/>
        <w:contextualSpacing/>
        <w:rPr>
          <w:rFonts w:ascii="宋体" w:hAnsi="宋体" w:cs="宋体"/>
          <w:b/>
          <w:kern w:val="0"/>
          <w:sz w:val="24"/>
          <w:szCs w:val="24"/>
        </w:rPr>
      </w:pPr>
      <w:r>
        <w:rPr>
          <w:rFonts w:hint="eastAsia" w:ascii="宋体" w:hAnsi="宋体" w:cs="宋体"/>
          <w:b/>
          <w:kern w:val="0"/>
          <w:sz w:val="24"/>
          <w:szCs w:val="24"/>
        </w:rPr>
        <w:t>4．合格的货物或服务</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4.1 供应商提供的货物或服务应当符合招标文件的要求，并且其质量完全符合国家标准、行业标准或地方标准，均有标准的以高（严格）者为准。没有国家标准、行业标准和企业标准的，按照通常标准或者符合采购目的的特定标准确定。</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4.2 供应商所提供的服务应当没有侵犯任何第三方的知识产权、技术秘密等合法权利。</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4.3 供应商所投产品如被列入财政部与国家主管部门颁发的节能产品目录或环境标志产品目录，应提供相关证明，在评标时予以优先采购。</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4.4 供应商所投产品如被列入</w:t>
      </w:r>
      <w:r>
        <w:rPr>
          <w:rFonts w:ascii="宋体" w:hAnsi="宋体" w:cs="宋体"/>
          <w:kern w:val="0"/>
          <w:sz w:val="24"/>
          <w:szCs w:val="24"/>
        </w:rPr>
        <w:t>《中华人民共和国实施强制性产品认证的产品目录》，</w:t>
      </w:r>
      <w:r>
        <w:rPr>
          <w:rFonts w:hint="eastAsia" w:ascii="宋体" w:hAnsi="宋体" w:cs="宋体"/>
          <w:kern w:val="0"/>
          <w:sz w:val="24"/>
          <w:szCs w:val="24"/>
        </w:rPr>
        <w:t>则该产品应</w:t>
      </w:r>
      <w:r>
        <w:rPr>
          <w:rFonts w:ascii="宋体" w:hAnsi="宋体" w:cs="宋体"/>
          <w:kern w:val="0"/>
          <w:sz w:val="24"/>
          <w:szCs w:val="24"/>
        </w:rPr>
        <w:t>具备国家认监委</w:t>
      </w:r>
      <w:r>
        <w:rPr>
          <w:rFonts w:hint="eastAsia" w:ascii="宋体" w:hAnsi="宋体" w:cs="宋体"/>
          <w:kern w:val="0"/>
          <w:sz w:val="24"/>
          <w:szCs w:val="24"/>
        </w:rPr>
        <w:t>指定强制性产品认证机构</w:t>
      </w:r>
      <w:r>
        <w:rPr>
          <w:rFonts w:ascii="宋体" w:hAnsi="宋体" w:cs="宋体"/>
          <w:kern w:val="0"/>
          <w:sz w:val="24"/>
          <w:szCs w:val="24"/>
        </w:rPr>
        <w:t>颁</w:t>
      </w:r>
      <w:r>
        <w:rPr>
          <w:rFonts w:hint="eastAsia" w:ascii="宋体" w:hAnsi="宋体" w:cs="宋体"/>
          <w:kern w:val="0"/>
          <w:sz w:val="24"/>
          <w:szCs w:val="24"/>
        </w:rPr>
        <w:t>发的</w:t>
      </w:r>
      <w:r>
        <w:rPr>
          <w:rFonts w:ascii="宋体" w:hAnsi="宋体" w:cs="宋体"/>
          <w:kern w:val="0"/>
          <w:sz w:val="24"/>
          <w:szCs w:val="24"/>
        </w:rPr>
        <w:t>《中国</w:t>
      </w:r>
      <w:r>
        <w:rPr>
          <w:rFonts w:hint="eastAsia" w:ascii="宋体" w:hAnsi="宋体" w:cs="宋体"/>
          <w:kern w:val="0"/>
          <w:sz w:val="24"/>
          <w:szCs w:val="24"/>
        </w:rPr>
        <w:t>国家</w:t>
      </w:r>
      <w:r>
        <w:rPr>
          <w:rFonts w:ascii="宋体" w:hAnsi="宋体" w:cs="宋体"/>
          <w:kern w:val="0"/>
          <w:sz w:val="24"/>
          <w:szCs w:val="24"/>
        </w:rPr>
        <w:t>强制</w:t>
      </w:r>
      <w:r>
        <w:rPr>
          <w:rFonts w:hint="eastAsia" w:ascii="宋体" w:hAnsi="宋体" w:cs="宋体"/>
          <w:kern w:val="0"/>
          <w:sz w:val="24"/>
          <w:szCs w:val="24"/>
        </w:rPr>
        <w:t>性产品</w:t>
      </w:r>
      <w:r>
        <w:rPr>
          <w:rFonts w:ascii="宋体" w:hAnsi="宋体" w:cs="宋体"/>
          <w:kern w:val="0"/>
          <w:sz w:val="24"/>
          <w:szCs w:val="24"/>
        </w:rPr>
        <w:t>认证</w:t>
      </w:r>
      <w:r>
        <w:rPr>
          <w:rFonts w:hint="eastAsia" w:ascii="宋体" w:hAnsi="宋体" w:cs="宋体"/>
          <w:kern w:val="0"/>
          <w:sz w:val="24"/>
          <w:szCs w:val="24"/>
        </w:rPr>
        <w:t>证书</w:t>
      </w:r>
      <w:r>
        <w:rPr>
          <w:rFonts w:ascii="宋体" w:hAnsi="宋体" w:cs="宋体"/>
          <w:kern w:val="0"/>
          <w:sz w:val="24"/>
          <w:szCs w:val="24"/>
        </w:rPr>
        <w:t>》（CCC 认证）。</w:t>
      </w:r>
      <w:r>
        <w:rPr>
          <w:rFonts w:hint="eastAsia" w:ascii="宋体" w:hAnsi="宋体" w:cs="宋体"/>
          <w:kern w:val="0"/>
          <w:sz w:val="24"/>
          <w:szCs w:val="24"/>
        </w:rPr>
        <w:t>供应商</w:t>
      </w:r>
      <w:r>
        <w:rPr>
          <w:rFonts w:ascii="宋体" w:hAnsi="宋体" w:cs="宋体"/>
          <w:kern w:val="0"/>
          <w:sz w:val="24"/>
          <w:szCs w:val="24"/>
        </w:rPr>
        <w:t>不能提供超出此目录范畴外的替代品</w:t>
      </w:r>
      <w:r>
        <w:rPr>
          <w:rFonts w:hint="eastAsia" w:ascii="宋体" w:hAnsi="宋体" w:cs="宋体"/>
          <w:kern w:val="0"/>
          <w:sz w:val="24"/>
          <w:szCs w:val="24"/>
        </w:rPr>
        <w:t>并根据招标文件要求提供相关证明。</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4.5 供应商所投产品如被列入</w:t>
      </w:r>
      <w:r>
        <w:rPr>
          <w:rFonts w:ascii="宋体" w:hAnsi="宋体" w:cs="宋体"/>
          <w:kern w:val="0"/>
          <w:sz w:val="24"/>
          <w:szCs w:val="24"/>
        </w:rPr>
        <w:t>《信息安全产品强制性认证目录》，</w:t>
      </w:r>
      <w:r>
        <w:rPr>
          <w:rFonts w:hint="eastAsia" w:ascii="宋体" w:hAnsi="宋体" w:cs="宋体"/>
          <w:kern w:val="0"/>
          <w:sz w:val="24"/>
          <w:szCs w:val="24"/>
        </w:rPr>
        <w:t>则该产品应</w:t>
      </w:r>
      <w:r>
        <w:rPr>
          <w:rFonts w:ascii="宋体" w:hAnsi="宋体" w:cs="宋体"/>
          <w:kern w:val="0"/>
          <w:sz w:val="24"/>
          <w:szCs w:val="24"/>
        </w:rPr>
        <w:t>具备</w:t>
      </w:r>
      <w:r>
        <w:rPr>
          <w:rFonts w:hint="eastAsia" w:ascii="宋体" w:hAnsi="宋体" w:cs="宋体"/>
          <w:kern w:val="0"/>
          <w:sz w:val="24"/>
          <w:szCs w:val="24"/>
        </w:rPr>
        <w:t>中国信息安全认证中心</w:t>
      </w:r>
      <w:r>
        <w:rPr>
          <w:rFonts w:ascii="宋体" w:hAnsi="宋体" w:cs="宋体"/>
          <w:kern w:val="0"/>
          <w:sz w:val="24"/>
          <w:szCs w:val="24"/>
        </w:rPr>
        <w:t>颁</w:t>
      </w:r>
      <w:r>
        <w:rPr>
          <w:rFonts w:hint="eastAsia" w:ascii="宋体" w:hAnsi="宋体" w:cs="宋体"/>
          <w:kern w:val="0"/>
          <w:sz w:val="24"/>
          <w:szCs w:val="24"/>
        </w:rPr>
        <w:t>发的</w:t>
      </w:r>
      <w:r>
        <w:rPr>
          <w:rFonts w:ascii="宋体" w:hAnsi="宋体" w:cs="宋体"/>
          <w:kern w:val="0"/>
          <w:sz w:val="24"/>
          <w:szCs w:val="24"/>
        </w:rPr>
        <w:t>《</w:t>
      </w:r>
      <w:r>
        <w:fldChar w:fldCharType="begin"/>
      </w:r>
      <w:r>
        <w:instrText xml:space="preserve"> HYPERLINK "http://www.cnca.gov.cn/cnca/zwxx/ggxx/images/2010/07/19/A6C32D2A507AC2A38326896013A67542.doc" \t "_blank" </w:instrText>
      </w:r>
      <w:r>
        <w:fldChar w:fldCharType="separate"/>
      </w:r>
      <w:r>
        <w:rPr>
          <w:rFonts w:hint="eastAsia" w:ascii="宋体" w:hAnsi="宋体" w:cs="宋体"/>
          <w:kern w:val="0"/>
          <w:sz w:val="24"/>
          <w:szCs w:val="24"/>
        </w:rPr>
        <w:t>中国国家信息安全产品认证证书</w:t>
      </w:r>
      <w:r>
        <w:fldChar w:fldCharType="end"/>
      </w:r>
      <w:r>
        <w:rPr>
          <w:rFonts w:ascii="宋体" w:hAnsi="宋体" w:cs="宋体"/>
          <w:kern w:val="0"/>
          <w:sz w:val="24"/>
          <w:szCs w:val="24"/>
        </w:rPr>
        <w:t>》。</w:t>
      </w:r>
      <w:r>
        <w:rPr>
          <w:rFonts w:hint="eastAsia" w:ascii="宋体" w:hAnsi="宋体" w:cs="宋体"/>
          <w:kern w:val="0"/>
          <w:sz w:val="24"/>
          <w:szCs w:val="24"/>
        </w:rPr>
        <w:t>供应商</w:t>
      </w:r>
      <w:r>
        <w:rPr>
          <w:rFonts w:ascii="宋体" w:hAnsi="宋体" w:cs="宋体"/>
          <w:kern w:val="0"/>
          <w:sz w:val="24"/>
          <w:szCs w:val="24"/>
        </w:rPr>
        <w:t>不能提供超出此目录范畴外的替代品</w:t>
      </w:r>
      <w:r>
        <w:rPr>
          <w:rFonts w:hint="eastAsia" w:ascii="宋体" w:hAnsi="宋体" w:cs="宋体"/>
          <w:kern w:val="0"/>
          <w:sz w:val="24"/>
          <w:szCs w:val="24"/>
        </w:rPr>
        <w:t>并根据招标文件要求提供相关证明。</w:t>
      </w:r>
    </w:p>
    <w:p>
      <w:pPr>
        <w:keepNext w:val="0"/>
        <w:keepLines w:val="0"/>
        <w:pageBreakBefore w:val="0"/>
        <w:kinsoku/>
        <w:wordWrap/>
        <w:overflowPunct/>
        <w:topLinePunct w:val="0"/>
        <w:autoSpaceDE w:val="0"/>
        <w:autoSpaceDN w:val="0"/>
        <w:bidi w:val="0"/>
        <w:snapToGrid/>
        <w:spacing w:beforeAutospacing="0" w:afterAutospacing="0" w:line="360" w:lineRule="auto"/>
        <w:ind w:firstLine="482" w:firstLineChars="200"/>
        <w:contextualSpacing/>
        <w:rPr>
          <w:rFonts w:ascii="宋体" w:hAnsi="宋体" w:cs="宋体"/>
          <w:b/>
          <w:kern w:val="0"/>
          <w:sz w:val="24"/>
          <w:szCs w:val="24"/>
        </w:rPr>
      </w:pPr>
      <w:r>
        <w:rPr>
          <w:rFonts w:hint="eastAsia" w:ascii="宋体" w:hAnsi="宋体" w:cs="宋体"/>
          <w:b/>
          <w:kern w:val="0"/>
          <w:sz w:val="24"/>
          <w:szCs w:val="24"/>
        </w:rPr>
        <w:t>5．投标费用</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不论投标的结果如何，供应商均应自行承担所有与投标有关的全部费用，采购人在任何情况下均无义务和责任承担这些费用。</w:t>
      </w:r>
    </w:p>
    <w:p>
      <w:pPr>
        <w:keepNext w:val="0"/>
        <w:keepLines w:val="0"/>
        <w:pageBreakBefore w:val="0"/>
        <w:kinsoku/>
        <w:wordWrap/>
        <w:overflowPunct/>
        <w:topLinePunct w:val="0"/>
        <w:autoSpaceDE w:val="0"/>
        <w:autoSpaceDN w:val="0"/>
        <w:bidi w:val="0"/>
        <w:snapToGrid/>
        <w:spacing w:beforeAutospacing="0" w:afterAutospacing="0" w:line="360" w:lineRule="auto"/>
        <w:ind w:firstLine="482" w:firstLineChars="200"/>
        <w:contextualSpacing/>
        <w:rPr>
          <w:rFonts w:ascii="宋体" w:hAnsi="宋体" w:cs="宋体"/>
          <w:b/>
          <w:kern w:val="0"/>
          <w:sz w:val="24"/>
          <w:szCs w:val="24"/>
        </w:rPr>
      </w:pPr>
      <w:r>
        <w:rPr>
          <w:rFonts w:hint="eastAsia" w:ascii="宋体" w:hAnsi="宋体" w:cs="宋体"/>
          <w:b/>
          <w:kern w:val="0"/>
          <w:sz w:val="24"/>
          <w:szCs w:val="24"/>
        </w:rPr>
        <w:t>6．信息发布</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本采购项目需要公开的有关信息，有关招标文件澄清或修改公告、中标公告以及延长投标截止时间等与招标活动有关的通知，采购人均将通过在代理机构进行通知发布。供应商因没有及时关注而未能如期获取相关信息，及因此所产生的一切后果和责任，由供应商自行承担，采购人在任何情况下均不对此承担任何责任。</w:t>
      </w:r>
    </w:p>
    <w:p>
      <w:pPr>
        <w:keepNext w:val="0"/>
        <w:keepLines w:val="0"/>
        <w:pageBreakBefore w:val="0"/>
        <w:kinsoku/>
        <w:wordWrap/>
        <w:overflowPunct/>
        <w:topLinePunct w:val="0"/>
        <w:autoSpaceDE w:val="0"/>
        <w:autoSpaceDN w:val="0"/>
        <w:bidi w:val="0"/>
        <w:snapToGrid/>
        <w:spacing w:beforeAutospacing="0" w:afterAutospacing="0" w:line="360" w:lineRule="auto"/>
        <w:ind w:firstLine="482" w:firstLineChars="200"/>
        <w:contextualSpacing/>
        <w:rPr>
          <w:rFonts w:ascii="宋体" w:hAnsi="宋体" w:cs="宋体"/>
          <w:b/>
          <w:kern w:val="0"/>
          <w:sz w:val="24"/>
          <w:szCs w:val="24"/>
        </w:rPr>
      </w:pPr>
      <w:r>
        <w:rPr>
          <w:rFonts w:hint="eastAsia" w:ascii="宋体" w:hAnsi="宋体" w:cs="宋体"/>
          <w:b/>
          <w:kern w:val="0"/>
          <w:sz w:val="24"/>
          <w:szCs w:val="24"/>
        </w:rPr>
        <w:t>7.采购代理机构代理费用收取标准和方式</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中标合同金额的1.5%及评标委员会劳务费用（执行财政厅评委费用标准）。中标供应商一次性以现金、银行划账、电汇、汇票或支票的形式支付。</w:t>
      </w:r>
    </w:p>
    <w:p>
      <w:pPr>
        <w:keepNext w:val="0"/>
        <w:keepLines w:val="0"/>
        <w:pageBreakBefore w:val="0"/>
        <w:kinsoku/>
        <w:wordWrap/>
        <w:overflowPunct/>
        <w:topLinePunct w:val="0"/>
        <w:autoSpaceDE w:val="0"/>
        <w:autoSpaceDN w:val="0"/>
        <w:bidi w:val="0"/>
        <w:snapToGrid/>
        <w:spacing w:beforeAutospacing="0" w:afterAutospacing="0" w:line="360" w:lineRule="auto"/>
        <w:ind w:firstLine="482" w:firstLineChars="200"/>
        <w:contextualSpacing/>
        <w:rPr>
          <w:rFonts w:ascii="宋体" w:hAnsi="宋体" w:cs="宋体"/>
          <w:b/>
          <w:kern w:val="0"/>
          <w:sz w:val="24"/>
          <w:szCs w:val="24"/>
        </w:rPr>
      </w:pPr>
      <w:r>
        <w:rPr>
          <w:rFonts w:hint="eastAsia" w:ascii="宋体" w:hAnsi="宋体" w:cs="宋体"/>
          <w:b/>
          <w:kern w:val="0"/>
          <w:sz w:val="24"/>
          <w:szCs w:val="24"/>
        </w:rPr>
        <w:t>8. 其他</w:t>
      </w:r>
    </w:p>
    <w:p>
      <w:pPr>
        <w:keepNext w:val="0"/>
        <w:keepLines w:val="0"/>
        <w:pageBreakBefore w:val="0"/>
        <w:kinsoku/>
        <w:wordWrap/>
        <w:overflowPunct/>
        <w:topLinePunct w:val="0"/>
        <w:autoSpaceDE w:val="0"/>
        <w:autoSpaceDN w:val="0"/>
        <w:bidi w:val="0"/>
        <w:snapToGrid/>
        <w:spacing w:beforeAutospacing="0" w:afterAutospacing="0" w:line="360" w:lineRule="auto"/>
        <w:ind w:firstLine="480" w:firstLineChars="200"/>
        <w:contextualSpacing/>
        <w:rPr>
          <w:rFonts w:ascii="宋体" w:hAnsi="宋体" w:cs="宋体"/>
          <w:kern w:val="0"/>
          <w:sz w:val="24"/>
          <w:szCs w:val="24"/>
        </w:rPr>
      </w:pPr>
      <w:r>
        <w:rPr>
          <w:rFonts w:hint="eastAsia" w:ascii="宋体" w:hAnsi="宋体" w:cs="宋体"/>
          <w:kern w:val="0"/>
          <w:sz w:val="24"/>
          <w:szCs w:val="24"/>
        </w:rPr>
        <w:t>本“供应商须知”的条款如与“投标邀请”、“项目需求”、“供应商须知前附表”和“资格审查与评标”就同一内容的表述不一致的，以“投标邀请”、“ 项目需求”、 “供应商须知前附表”和“资格审查与评标”中规定的内容为准。</w:t>
      </w:r>
    </w:p>
    <w:p>
      <w:pPr>
        <w:keepNext w:val="0"/>
        <w:keepLines w:val="0"/>
        <w:pageBreakBefore w:val="0"/>
        <w:widowControl/>
        <w:kinsoku/>
        <w:wordWrap/>
        <w:overflowPunct/>
        <w:topLinePunct w:val="0"/>
        <w:bidi w:val="0"/>
        <w:snapToGrid/>
        <w:spacing w:beforeAutospacing="0" w:afterAutospacing="0" w:line="360" w:lineRule="auto"/>
        <w:ind w:firstLine="480" w:firstLineChars="200"/>
        <w:jc w:val="left"/>
        <w:rPr>
          <w:rFonts w:ascii="宋体" w:hAnsi="宋体" w:cs="宋体"/>
          <w:kern w:val="0"/>
          <w:sz w:val="24"/>
          <w:szCs w:val="24"/>
        </w:rPr>
      </w:pPr>
      <w:r>
        <w:rPr>
          <w:rFonts w:ascii="宋体" w:hAnsi="宋体" w:cs="宋体"/>
          <w:kern w:val="0"/>
          <w:sz w:val="24"/>
          <w:szCs w:val="24"/>
        </w:rPr>
        <w:br w:type="page"/>
      </w:r>
    </w:p>
    <w:p>
      <w:pPr>
        <w:tabs>
          <w:tab w:val="left" w:pos="1260"/>
        </w:tabs>
        <w:autoSpaceDE w:val="0"/>
        <w:autoSpaceDN w:val="0"/>
        <w:spacing w:line="360" w:lineRule="auto"/>
        <w:contextualSpacing/>
        <w:jc w:val="center"/>
        <w:rPr>
          <w:rFonts w:ascii="宋体" w:hAnsi="宋体" w:cs="宋体"/>
          <w:b/>
          <w:kern w:val="0"/>
          <w:sz w:val="28"/>
          <w:szCs w:val="28"/>
        </w:rPr>
      </w:pPr>
      <w:r>
        <w:rPr>
          <w:rFonts w:hint="eastAsia" w:ascii="宋体" w:hAnsi="宋体" w:cs="宋体"/>
          <w:b/>
          <w:kern w:val="0"/>
          <w:sz w:val="28"/>
          <w:szCs w:val="28"/>
        </w:rPr>
        <w:t>二、招标文件说明</w:t>
      </w:r>
    </w:p>
    <w:p>
      <w:pPr>
        <w:keepNext w:val="0"/>
        <w:keepLines w:val="0"/>
        <w:pageBreakBefore w:val="0"/>
        <w:kinsoku/>
        <w:wordWrap/>
        <w:overflowPunct/>
        <w:topLinePunct w:val="0"/>
        <w:autoSpaceDE w:val="0"/>
        <w:autoSpaceDN w:val="0"/>
        <w:bidi w:val="0"/>
        <w:snapToGrid/>
        <w:spacing w:line="360" w:lineRule="auto"/>
        <w:ind w:firstLine="482" w:firstLineChars="200"/>
        <w:contextualSpacing/>
        <w:textAlignment w:val="auto"/>
        <w:rPr>
          <w:rFonts w:ascii="宋体" w:hAnsi="宋体" w:cs="宋体"/>
          <w:b/>
          <w:kern w:val="0"/>
          <w:sz w:val="24"/>
          <w:szCs w:val="24"/>
        </w:rPr>
      </w:pPr>
      <w:r>
        <w:rPr>
          <w:rFonts w:hint="eastAsia" w:ascii="宋体" w:hAnsi="宋体" w:cs="宋体"/>
          <w:b/>
          <w:kern w:val="0"/>
          <w:sz w:val="24"/>
          <w:szCs w:val="24"/>
        </w:rPr>
        <w:t>9．招标文件构成</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9.1 招标文件由以下部分组成：</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（1）投标邀请（招标公告）</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（2）项目需求</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（3）供应商须知前附表</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（4）供应商须知</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（5）资格审查与评标</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（6）合同条款及格式</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（7）投标文件有关格式</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（8）本项目招标文件的附件澄清、答复、修改、补充内容（如有）</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9.2 供应商应认真阅读、并充分理解招标文件的全部内容（包括所有的补充、修改内容、重要事项、格式、条款和技术规范、参数及要求等），按招标文件要求和规定编制投标文件，并保证所提供的全部资料的真实性，否则有可能导致投标被拒绝，其风险由供应商自行承担。</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9.3 供应商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pPr>
        <w:keepNext w:val="0"/>
        <w:keepLines w:val="0"/>
        <w:pageBreakBefore w:val="0"/>
        <w:kinsoku/>
        <w:wordWrap/>
        <w:overflowPunct/>
        <w:topLinePunct w:val="0"/>
        <w:autoSpaceDE w:val="0"/>
        <w:autoSpaceDN w:val="0"/>
        <w:bidi w:val="0"/>
        <w:snapToGrid/>
        <w:spacing w:line="360" w:lineRule="auto"/>
        <w:ind w:firstLine="482" w:firstLineChars="200"/>
        <w:contextualSpacing/>
        <w:textAlignment w:val="auto"/>
        <w:rPr>
          <w:rFonts w:ascii="宋体" w:hAnsi="宋体" w:cs="宋体"/>
          <w:b/>
          <w:kern w:val="0"/>
          <w:sz w:val="24"/>
          <w:szCs w:val="24"/>
        </w:rPr>
      </w:pPr>
      <w:r>
        <w:rPr>
          <w:rFonts w:hint="eastAsia" w:ascii="宋体" w:hAnsi="宋体" w:cs="宋体"/>
          <w:b/>
          <w:kern w:val="0"/>
          <w:sz w:val="24"/>
          <w:szCs w:val="24"/>
        </w:rPr>
        <w:t>10.现场考察、开标前答疑会</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10.1 采购人根据采购项目的具体情况，可以在招标文件公告期满后，组织已获取招标文件的潜在供应商现场考察或者召开开标前答疑会。</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10.1.1 采购人组织现场考察或者召开开标前答疑会的，所有供应商应按“供应商须知前附表”规定的时间、地点前往参加现场考察或者开标前答疑会。供应商如不参加，其风险由供应商自行承担，采购人不承担任何责任。</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10.2 采购人组织现场考察或者召开答疑会的，应当在招标文件中载明。</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10.3 采购人在考察现场和开标前答疑会口头介绍的情况，除采购人事后形成书面记录、并以澄清或修改公告的形式发布、构成招标文件的组成部分以外，其他内容仅供供应商在编制投标文件时参考，采购人不对供应商据此作出的判断和决策负责。</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10.4 现场考察及参加开标前答疑会所发生的费用及一切责任由供应商自行承担。</w:t>
      </w:r>
    </w:p>
    <w:p>
      <w:pPr>
        <w:keepNext w:val="0"/>
        <w:keepLines w:val="0"/>
        <w:pageBreakBefore w:val="0"/>
        <w:kinsoku/>
        <w:wordWrap/>
        <w:overflowPunct/>
        <w:topLinePunct w:val="0"/>
        <w:autoSpaceDE w:val="0"/>
        <w:autoSpaceDN w:val="0"/>
        <w:bidi w:val="0"/>
        <w:snapToGrid/>
        <w:spacing w:line="360" w:lineRule="auto"/>
        <w:ind w:firstLine="482" w:firstLineChars="200"/>
        <w:contextualSpacing/>
        <w:textAlignment w:val="auto"/>
        <w:rPr>
          <w:rFonts w:ascii="宋体" w:hAnsi="宋体" w:cs="宋体"/>
          <w:b/>
          <w:kern w:val="0"/>
          <w:sz w:val="24"/>
          <w:szCs w:val="24"/>
        </w:rPr>
      </w:pPr>
      <w:r>
        <w:rPr>
          <w:rFonts w:hint="eastAsia" w:ascii="宋体" w:hAnsi="宋体" w:cs="宋体"/>
          <w:b/>
          <w:kern w:val="0"/>
          <w:sz w:val="24"/>
          <w:szCs w:val="24"/>
        </w:rPr>
        <w:t>11.招标文件的澄清或修改</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11.1 在投标截止期前，无论出于何种原因，采购人可主动地或在解答潜在供应商提出的澄清问题时对招标文件进行修改。</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11</w:t>
      </w:r>
      <w:r>
        <w:rPr>
          <w:rFonts w:ascii="宋体" w:hAnsi="宋体" w:cs="宋体"/>
          <w:kern w:val="0"/>
          <w:sz w:val="24"/>
          <w:szCs w:val="24"/>
        </w:rPr>
        <w:t>.</w:t>
      </w:r>
      <w:r>
        <w:rPr>
          <w:rFonts w:hint="eastAsia" w:ascii="宋体" w:hAnsi="宋体" w:cs="宋体"/>
          <w:kern w:val="0"/>
          <w:sz w:val="24"/>
          <w:szCs w:val="24"/>
        </w:rPr>
        <w:t>2采购人可以对已发出的招标文件进行必要的澄清或者修改。澄清或者修改的内容可能影响投标文件编制的，采购人将在投标截止时间</w:t>
      </w:r>
      <w:r>
        <w:rPr>
          <w:rFonts w:ascii="宋体" w:hAnsi="宋体" w:cs="宋体"/>
          <w:kern w:val="0"/>
          <w:sz w:val="24"/>
          <w:szCs w:val="24"/>
        </w:rPr>
        <w:t>15</w:t>
      </w:r>
      <w:r>
        <w:rPr>
          <w:rFonts w:hint="eastAsia" w:ascii="宋体" w:hAnsi="宋体" w:cs="宋体"/>
          <w:kern w:val="0"/>
          <w:sz w:val="24"/>
          <w:szCs w:val="24"/>
        </w:rPr>
        <w:t>日前更正。</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11.3 澄清或修改公告的内容为招标文件的组成部分，并对供应商具有约束力。当招标文件与澄清或修改公告就同一内容的表述不一致时，以最后发出的文件内容为准。</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11.4 如果澄清或者修改发出的时间距规定的投标截止时间不足15日，采购人将顺延提交投标文件的截止时间。</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p>
    <w:p>
      <w:pPr>
        <w:keepNext w:val="0"/>
        <w:keepLines w:val="0"/>
        <w:pageBreakBefore w:val="0"/>
        <w:tabs>
          <w:tab w:val="left" w:pos="1260"/>
        </w:tabs>
        <w:kinsoku/>
        <w:wordWrap/>
        <w:overflowPunct/>
        <w:topLinePunct w:val="0"/>
        <w:autoSpaceDE w:val="0"/>
        <w:autoSpaceDN w:val="0"/>
        <w:bidi w:val="0"/>
        <w:snapToGrid/>
        <w:spacing w:line="360" w:lineRule="auto"/>
        <w:ind w:firstLine="562" w:firstLineChars="200"/>
        <w:contextualSpacing/>
        <w:jc w:val="center"/>
        <w:textAlignment w:val="auto"/>
        <w:rPr>
          <w:rFonts w:ascii="宋体" w:hAnsi="宋体" w:cs="宋体"/>
          <w:b/>
          <w:kern w:val="0"/>
          <w:sz w:val="28"/>
          <w:szCs w:val="28"/>
        </w:rPr>
      </w:pPr>
      <w:r>
        <w:rPr>
          <w:rFonts w:hint="eastAsia" w:ascii="宋体" w:hAnsi="宋体" w:cs="宋体"/>
          <w:b/>
          <w:kern w:val="0"/>
          <w:sz w:val="28"/>
          <w:szCs w:val="28"/>
        </w:rPr>
        <w:t>三、投标文件的编制</w:t>
      </w:r>
    </w:p>
    <w:p>
      <w:pPr>
        <w:keepNext w:val="0"/>
        <w:keepLines w:val="0"/>
        <w:pageBreakBefore w:val="0"/>
        <w:kinsoku/>
        <w:wordWrap/>
        <w:overflowPunct/>
        <w:topLinePunct w:val="0"/>
        <w:autoSpaceDE w:val="0"/>
        <w:autoSpaceDN w:val="0"/>
        <w:bidi w:val="0"/>
        <w:snapToGrid/>
        <w:spacing w:line="360" w:lineRule="auto"/>
        <w:ind w:firstLine="482" w:firstLineChars="200"/>
        <w:contextualSpacing/>
        <w:textAlignment w:val="auto"/>
        <w:rPr>
          <w:rFonts w:ascii="宋体" w:hAnsi="宋体" w:cs="宋体"/>
          <w:b/>
          <w:kern w:val="0"/>
          <w:sz w:val="24"/>
          <w:szCs w:val="24"/>
        </w:rPr>
      </w:pPr>
      <w:r>
        <w:rPr>
          <w:rFonts w:hint="eastAsia" w:ascii="宋体" w:hAnsi="宋体" w:cs="宋体"/>
          <w:b/>
          <w:kern w:val="0"/>
          <w:sz w:val="24"/>
          <w:szCs w:val="24"/>
        </w:rPr>
        <w:t>12． 投标的语言及计量单位</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12．1 供应商提交的投标文件以及供应商与采购人就有关投标事宜的所有来往书面文件均应使用中文。除签名、盖章、专用名称等特殊情形外，以中文以外的文字表述的投标文件视同未提供。</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12.2 投标计量单位，招标文件已有明确规定的，使用招标文件规定的计量单位；招标文件没有规定的，一律采用中华人民共和国法定计量单位。</w:t>
      </w:r>
    </w:p>
    <w:p>
      <w:pPr>
        <w:keepNext w:val="0"/>
        <w:keepLines w:val="0"/>
        <w:pageBreakBefore w:val="0"/>
        <w:kinsoku/>
        <w:wordWrap/>
        <w:overflowPunct/>
        <w:topLinePunct w:val="0"/>
        <w:autoSpaceDE w:val="0"/>
        <w:autoSpaceDN w:val="0"/>
        <w:bidi w:val="0"/>
        <w:snapToGrid/>
        <w:spacing w:line="360" w:lineRule="auto"/>
        <w:ind w:firstLine="482" w:firstLineChars="200"/>
        <w:contextualSpacing/>
        <w:textAlignment w:val="auto"/>
        <w:rPr>
          <w:rFonts w:ascii="宋体" w:hAnsi="宋体" w:cs="宋体"/>
          <w:b/>
          <w:kern w:val="0"/>
          <w:sz w:val="24"/>
          <w:szCs w:val="24"/>
        </w:rPr>
      </w:pPr>
      <w:r>
        <w:rPr>
          <w:rFonts w:hint="eastAsia" w:ascii="宋体" w:hAnsi="宋体" w:cs="宋体"/>
          <w:b/>
          <w:kern w:val="0"/>
          <w:sz w:val="24"/>
          <w:szCs w:val="24"/>
        </w:rPr>
        <w:t>13</w:t>
      </w:r>
      <w:r>
        <w:rPr>
          <w:rFonts w:ascii="宋体" w:hAnsi="宋体" w:cs="宋体"/>
          <w:b/>
          <w:kern w:val="0"/>
          <w:sz w:val="24"/>
          <w:szCs w:val="24"/>
        </w:rPr>
        <w:t xml:space="preserve">. </w:t>
      </w:r>
      <w:r>
        <w:rPr>
          <w:rFonts w:hint="eastAsia" w:ascii="宋体" w:hAnsi="宋体" w:cs="宋体"/>
          <w:b/>
          <w:kern w:val="0"/>
          <w:sz w:val="24"/>
          <w:szCs w:val="24"/>
        </w:rPr>
        <w:t>投标报价</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13.1 本次招标项目的投标均以</w:t>
      </w:r>
      <w:r>
        <w:rPr>
          <w:rFonts w:hint="eastAsia" w:ascii="宋体" w:hAnsi="宋体" w:cs="宋体"/>
          <w:b/>
          <w:kern w:val="0"/>
          <w:sz w:val="24"/>
          <w:szCs w:val="24"/>
        </w:rPr>
        <w:t>人民币</w:t>
      </w:r>
      <w:r>
        <w:rPr>
          <w:rFonts w:hint="eastAsia" w:ascii="宋体" w:hAnsi="宋体" w:cs="宋体"/>
          <w:kern w:val="0"/>
          <w:sz w:val="24"/>
          <w:szCs w:val="24"/>
        </w:rPr>
        <w:t>为计算单位。</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13.2 采购人不得向供应商索要或者接受其给予的赠品、回扣或者与采购无关的其他商品、服务。</w:t>
      </w:r>
    </w:p>
    <w:p>
      <w:pPr>
        <w:pStyle w:val="44"/>
        <w:keepNext w:val="0"/>
        <w:keepLines w:val="0"/>
        <w:pageBreakBefore w:val="0"/>
        <w:kinsoku/>
        <w:wordWrap/>
        <w:overflowPunct/>
        <w:topLinePunct w:val="0"/>
        <w:bidi w:val="0"/>
        <w:snapToGrid/>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13.3 供应商应对项目要求的全部内容进行报价，少报漏报将导致其投标</w:t>
      </w:r>
      <w:r>
        <w:rPr>
          <w:rFonts w:hint="eastAsia" w:ascii="宋体" w:hAnsi="宋体" w:cs="宋体"/>
          <w:sz w:val="24"/>
          <w:szCs w:val="24"/>
          <w:lang w:val="en-GB"/>
        </w:rPr>
        <w:t>为非实质性响应予以拒绝。</w:t>
      </w:r>
    </w:p>
    <w:p>
      <w:pPr>
        <w:keepNext w:val="0"/>
        <w:keepLines w:val="0"/>
        <w:pageBreakBefore w:val="0"/>
        <w:kinsoku/>
        <w:wordWrap/>
        <w:overflowPunct/>
        <w:topLinePunct w:val="0"/>
        <w:bidi w:val="0"/>
        <w:snapToGrid/>
        <w:spacing w:line="360" w:lineRule="auto"/>
        <w:ind w:firstLine="480" w:firstLineChars="200"/>
        <w:textAlignment w:val="auto"/>
        <w:outlineLvl w:val="0"/>
        <w:rPr>
          <w:rFonts w:ascii="宋体" w:hAnsi="宋体" w:cs="宋体"/>
          <w:kern w:val="0"/>
          <w:sz w:val="24"/>
          <w:szCs w:val="24"/>
        </w:rPr>
      </w:pPr>
      <w:r>
        <w:rPr>
          <w:rFonts w:hint="eastAsia" w:ascii="宋体" w:hAnsi="宋体" w:cs="宋体"/>
          <w:kern w:val="0"/>
          <w:sz w:val="24"/>
          <w:szCs w:val="24"/>
        </w:rPr>
        <w:t>13.4 供应商应当按照国家相关规定，结合自身服务水平和承受能力进行报价。投标报价应是履行合同的最终价格，除“项目需求”中另有说明外，投标报价应当是供应商为提供本项目所要求的全部服务所发生的一切成本、税费和利润，包括人工（含工资、社会统筹保险金、加班工资、工作餐、相关福利、关于人员聘用的费用等）、设备、国家规定检测、外发包、材料（含辅材）、管理、税费及利润等。</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13.5 本项目所涉及的服务、运输、施工、安装、集成、调试、验收、备品和工具等（如有）费用均包含在投标报价中。</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13.6 本次招标不接受可选择或可调整的投标方案和报价，任何有选择的或可调整的投标方案和报价将被视为非实质性响应投标而作无效投标处理。</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13.7 报价不得高于本项目最高限价，且不低于成本价。</w:t>
      </w:r>
      <w:r>
        <w:rPr>
          <w:rFonts w:hint="eastAsia" w:ascii="宋体" w:hAnsi="宋体" w:cs="宋体"/>
          <w:sz w:val="24"/>
          <w:szCs w:val="24"/>
          <w:lang w:val="en-GB"/>
        </w:rPr>
        <w:t>本次招标实行</w:t>
      </w:r>
      <w:r>
        <w:rPr>
          <w:rFonts w:hint="eastAsia" w:ascii="宋体" w:cs="宋体"/>
          <w:sz w:val="24"/>
          <w:szCs w:val="24"/>
          <w:lang w:val="en-GB"/>
        </w:rPr>
        <w:t>“</w:t>
      </w:r>
      <w:r>
        <w:rPr>
          <w:rFonts w:hint="eastAsia" w:ascii="宋体" w:hAnsi="宋体" w:cs="宋体"/>
          <w:sz w:val="24"/>
          <w:szCs w:val="24"/>
          <w:lang w:val="en-GB"/>
        </w:rPr>
        <w:t>最高限价（项目控制金额上限）</w:t>
      </w:r>
      <w:r>
        <w:rPr>
          <w:rFonts w:hint="eastAsia" w:ascii="宋体" w:cs="宋体"/>
          <w:sz w:val="24"/>
          <w:szCs w:val="24"/>
          <w:lang w:val="en-GB"/>
        </w:rPr>
        <w:t>”</w:t>
      </w:r>
      <w:r>
        <w:rPr>
          <w:rFonts w:hint="eastAsia" w:ascii="宋体" w:hAnsi="宋体" w:cs="宋体"/>
          <w:sz w:val="24"/>
          <w:szCs w:val="24"/>
          <w:lang w:val="en-GB"/>
        </w:rPr>
        <w:t>,供应商的投标报价高于最高限价（项目控制金额上限）的，该供应商的投标文件将被视为非实质性响应予以拒绝。</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13.8 最低报价不能作为中标的保证。</w:t>
      </w:r>
    </w:p>
    <w:p>
      <w:pPr>
        <w:keepNext w:val="0"/>
        <w:keepLines w:val="0"/>
        <w:pageBreakBefore w:val="0"/>
        <w:kinsoku/>
        <w:wordWrap/>
        <w:overflowPunct/>
        <w:topLinePunct w:val="0"/>
        <w:autoSpaceDE w:val="0"/>
        <w:autoSpaceDN w:val="0"/>
        <w:bidi w:val="0"/>
        <w:snapToGrid/>
        <w:spacing w:line="360" w:lineRule="auto"/>
        <w:ind w:firstLine="482" w:firstLineChars="200"/>
        <w:contextualSpacing/>
        <w:textAlignment w:val="auto"/>
        <w:rPr>
          <w:rFonts w:ascii="宋体" w:hAnsi="宋体" w:cs="宋体"/>
          <w:b/>
          <w:kern w:val="0"/>
          <w:sz w:val="24"/>
          <w:szCs w:val="24"/>
        </w:rPr>
      </w:pPr>
      <w:r>
        <w:rPr>
          <w:rFonts w:hint="eastAsia" w:ascii="宋体" w:hAnsi="宋体" w:cs="宋体"/>
          <w:b/>
          <w:kern w:val="0"/>
          <w:sz w:val="24"/>
          <w:szCs w:val="24"/>
        </w:rPr>
        <w:t>14．投标有效期</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14.1 投标有效期从提交投标文件的截止之日起算。本项目投标有效期详</w:t>
      </w:r>
      <w:r>
        <w:rPr>
          <w:rFonts w:hint="eastAsia" w:ascii="宋体" w:hAnsi="宋体" w:cs="仿宋_GB2312"/>
          <w:sz w:val="24"/>
          <w:szCs w:val="24"/>
          <w:lang w:val="zh-CN"/>
        </w:rPr>
        <w:t>见供应商须知前附表。</w:t>
      </w:r>
      <w:r>
        <w:rPr>
          <w:rFonts w:hint="eastAsia" w:ascii="宋体" w:hAnsi="宋体" w:cs="宋体"/>
          <w:kern w:val="0"/>
          <w:sz w:val="24"/>
          <w:szCs w:val="24"/>
        </w:rPr>
        <w:t>投标文件中承诺的投标有效期应当不少于“供应商须知前附表”载明的投标有效期。投标有效期比招标文件规定短的属于非实质性响应，将被认定为无效投标。</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14.2 投标有效期内供应商撤销投标文件的，采购人将不退还投标保证金。</w:t>
      </w:r>
    </w:p>
    <w:p>
      <w:pPr>
        <w:keepNext w:val="0"/>
        <w:keepLines w:val="0"/>
        <w:pageBreakBefore w:val="0"/>
        <w:widowControl/>
        <w:tabs>
          <w:tab w:val="left" w:pos="636"/>
        </w:tabs>
        <w:kinsoku/>
        <w:wordWrap/>
        <w:overflowPunct/>
        <w:topLinePunct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14.3 特殊情况下，在原投标有效期截止之前，采购人可要求供应商延长投标有效期。这种要求与答复均应以书面形式提交。供应商可拒绝采购人的这种要求，其投标保证金将不会被没收，但其投标在原投标有效期期满后将不再有效。同意延长投标有效期的供应商将不会被要求和允许修正其投标，而只会被要求相应地延长其投标保证金的有效期。在这种情况下，有关投标保证金的退还和没收的规定将在延长了的有效期内继续有效。同意延期的供应商在原投标有效期内应享之权利及应负之责任也相应延续。</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14.4 中标人的投标文件作为项目合同的附件，其有效期至中标人全部合同义务履行完毕为止。</w:t>
      </w:r>
    </w:p>
    <w:p>
      <w:pPr>
        <w:keepNext w:val="0"/>
        <w:keepLines w:val="0"/>
        <w:pageBreakBefore w:val="0"/>
        <w:kinsoku/>
        <w:wordWrap/>
        <w:overflowPunct/>
        <w:topLinePunct w:val="0"/>
        <w:autoSpaceDE w:val="0"/>
        <w:autoSpaceDN w:val="0"/>
        <w:bidi w:val="0"/>
        <w:snapToGrid/>
        <w:spacing w:line="360" w:lineRule="auto"/>
        <w:ind w:firstLine="482" w:firstLineChars="200"/>
        <w:contextualSpacing/>
        <w:textAlignment w:val="auto"/>
        <w:rPr>
          <w:rFonts w:ascii="宋体" w:hAnsi="宋体" w:cs="宋体"/>
          <w:b/>
          <w:kern w:val="0"/>
          <w:sz w:val="24"/>
          <w:szCs w:val="24"/>
        </w:rPr>
      </w:pPr>
      <w:r>
        <w:rPr>
          <w:rFonts w:hint="eastAsia" w:ascii="宋体" w:hAnsi="宋体" w:cs="宋体"/>
          <w:b/>
          <w:kern w:val="0"/>
          <w:sz w:val="24"/>
          <w:szCs w:val="24"/>
        </w:rPr>
        <w:t>15．投标文件构成</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15.1 投标文件的构成应符合法律法规及招标文件的要求。</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15.2 供应商应当按照招标文件的要求编制投标文件。投标文件应当对招标文件提出的要求和条件作出明确响应。</w:t>
      </w:r>
    </w:p>
    <w:p>
      <w:pPr>
        <w:keepNext w:val="0"/>
        <w:keepLines w:val="0"/>
        <w:pageBreakBefore w:val="0"/>
        <w:kinsoku/>
        <w:wordWrap/>
        <w:overflowPunct/>
        <w:topLinePunct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15.3 投标文件由资格证明材料、符合性证明材料、其它材料等组成。</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15.4 供应商根据招标文件的规定和采购项目的实际情况，拟在中标后将中标项目的非主体、非关键性工作分包的，应当在投标文件中载明分包承担主体，分包承担主体应当具备相应资质条件且不得再次分包。</w:t>
      </w:r>
    </w:p>
    <w:p>
      <w:pPr>
        <w:keepNext w:val="0"/>
        <w:keepLines w:val="0"/>
        <w:pageBreakBefore w:val="0"/>
        <w:kinsoku/>
        <w:wordWrap/>
        <w:overflowPunct/>
        <w:topLinePunct w:val="0"/>
        <w:autoSpaceDE w:val="0"/>
        <w:autoSpaceDN w:val="0"/>
        <w:bidi w:val="0"/>
        <w:snapToGrid/>
        <w:spacing w:line="360" w:lineRule="auto"/>
        <w:ind w:firstLine="482" w:firstLineChars="200"/>
        <w:contextualSpacing/>
        <w:textAlignment w:val="auto"/>
        <w:rPr>
          <w:rFonts w:ascii="宋体" w:hAnsi="宋体" w:cs="宋体"/>
          <w:b/>
          <w:kern w:val="0"/>
          <w:sz w:val="24"/>
          <w:szCs w:val="24"/>
        </w:rPr>
      </w:pPr>
      <w:r>
        <w:rPr>
          <w:rFonts w:hint="eastAsia" w:ascii="宋体" w:hAnsi="宋体" w:cs="宋体"/>
          <w:b/>
          <w:kern w:val="0"/>
          <w:sz w:val="24"/>
          <w:szCs w:val="24"/>
        </w:rPr>
        <w:t>16.投标文件格式</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16.1 投标文件应参照招标文件第七部分（投标文件有关格式）的内容要求、编排顺序和格式要求，供应商应按照以上要求将投标文件编上唯一的连贯页码并以</w:t>
      </w:r>
      <w:r>
        <w:rPr>
          <w:rFonts w:hint="eastAsia" w:ascii="宋体" w:hAnsi="宋体" w:cs="宋体"/>
          <w:b/>
          <w:kern w:val="0"/>
          <w:sz w:val="24"/>
          <w:szCs w:val="24"/>
        </w:rPr>
        <w:t>A4</w:t>
      </w:r>
      <w:r>
        <w:rPr>
          <w:rFonts w:hint="eastAsia" w:ascii="宋体" w:hAnsi="宋体" w:cs="宋体"/>
          <w:kern w:val="0"/>
          <w:sz w:val="24"/>
          <w:szCs w:val="24"/>
        </w:rPr>
        <w:t>幅面装订成册，并在投标文件封面上注明：正本/副本、所投项目名称及标包、项目编号、供应商名称、日期等字样。</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16.2 供应商应按招标文件提供的格式编写投标文件。招标文件未提供标准格式的供应商可自行拟定。</w:t>
      </w:r>
    </w:p>
    <w:p>
      <w:pPr>
        <w:keepNext w:val="0"/>
        <w:keepLines w:val="0"/>
        <w:pageBreakBefore w:val="0"/>
        <w:kinsoku/>
        <w:wordWrap/>
        <w:overflowPunct/>
        <w:topLinePunct w:val="0"/>
        <w:autoSpaceDE w:val="0"/>
        <w:autoSpaceDN w:val="0"/>
        <w:bidi w:val="0"/>
        <w:snapToGrid/>
        <w:spacing w:line="360" w:lineRule="auto"/>
        <w:ind w:firstLine="482" w:firstLineChars="200"/>
        <w:contextualSpacing/>
        <w:textAlignment w:val="auto"/>
        <w:rPr>
          <w:rFonts w:ascii="宋体" w:hAnsi="宋体" w:cs="宋体"/>
          <w:b/>
          <w:kern w:val="0"/>
          <w:sz w:val="24"/>
          <w:szCs w:val="24"/>
        </w:rPr>
      </w:pPr>
      <w:r>
        <w:rPr>
          <w:rFonts w:hint="eastAsia" w:ascii="宋体" w:hAnsi="宋体" w:cs="宋体"/>
          <w:b/>
          <w:kern w:val="0"/>
          <w:sz w:val="24"/>
          <w:szCs w:val="24"/>
        </w:rPr>
        <w:t>17.投标保证金</w:t>
      </w:r>
    </w:p>
    <w:p>
      <w:pPr>
        <w:keepNext w:val="0"/>
        <w:keepLines w:val="0"/>
        <w:pageBreakBefore w:val="0"/>
        <w:kinsoku/>
        <w:wordWrap/>
        <w:overflowPunct/>
        <w:topLinePunct w:val="0"/>
        <w:autoSpaceDE w:val="0"/>
        <w:autoSpaceDN w:val="0"/>
        <w:bidi w:val="0"/>
        <w:snapToGrid/>
        <w:spacing w:line="360" w:lineRule="auto"/>
        <w:ind w:firstLine="482" w:firstLineChars="200"/>
        <w:contextualSpacing/>
        <w:textAlignment w:val="auto"/>
        <w:rPr>
          <w:rFonts w:ascii="宋体" w:hAnsi="宋体" w:cs="宋体"/>
          <w:b/>
          <w:kern w:val="0"/>
          <w:sz w:val="24"/>
          <w:szCs w:val="24"/>
        </w:rPr>
      </w:pPr>
      <w:r>
        <w:rPr>
          <w:rFonts w:hint="eastAsia" w:ascii="宋体" w:hAnsi="宋体" w:cs="宋体"/>
          <w:b/>
          <w:kern w:val="0"/>
          <w:sz w:val="24"/>
          <w:szCs w:val="24"/>
        </w:rPr>
        <w:t>17.1投标保证金的缴纳</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17.1 .1供应商应按“供应商须知前附表”规定时间及金额提交投标保证金，并作为其投标的一部分。未按要求提交投标保证金的投标文件为无效投标。</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宋体"/>
          <w:kern w:val="0"/>
          <w:sz w:val="24"/>
          <w:szCs w:val="24"/>
        </w:rPr>
        <w:t>17.1.2 投标保证金用于避免和减少本次招标由于供应商的行为而给采购人带来的损失。</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lang w:val="zh-CN"/>
        </w:rPr>
        <w:t>1</w:t>
      </w:r>
      <w:r>
        <w:rPr>
          <w:rFonts w:hint="eastAsia" w:ascii="宋体" w:hAnsi="宋体" w:cs="仿宋_GB2312"/>
          <w:sz w:val="24"/>
          <w:szCs w:val="24"/>
        </w:rPr>
        <w:t>7</w:t>
      </w:r>
      <w:r>
        <w:rPr>
          <w:rFonts w:hint="eastAsia" w:ascii="宋体" w:hAnsi="宋体" w:cs="仿宋_GB2312"/>
          <w:sz w:val="24"/>
          <w:szCs w:val="24"/>
          <w:lang w:val="zh-CN"/>
        </w:rPr>
        <w:t>.</w:t>
      </w:r>
      <w:r>
        <w:rPr>
          <w:rFonts w:hint="eastAsia" w:ascii="宋体" w:hAnsi="宋体" w:cs="仿宋_GB2312"/>
          <w:sz w:val="24"/>
          <w:szCs w:val="24"/>
        </w:rPr>
        <w:t>1.</w:t>
      </w:r>
      <w:r>
        <w:rPr>
          <w:rFonts w:hint="eastAsia" w:ascii="宋体" w:hAnsi="宋体" w:cs="仿宋_GB2312"/>
          <w:sz w:val="24"/>
          <w:szCs w:val="24"/>
          <w:lang w:val="zh-CN"/>
        </w:rPr>
        <w:t xml:space="preserve">3 投标保证金的递交方式：银行转帐、银行电汇（需从供应商注册银行账户转出）。凡以现金方式缴纳投标保证金而影响其投标结果的，由供应商自行负责。 </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rPr>
        <w:t>7</w:t>
      </w:r>
      <w:r>
        <w:rPr>
          <w:rFonts w:hint="eastAsia" w:ascii="宋体" w:hAnsi="宋体" w:cs="仿宋_GB2312"/>
          <w:sz w:val="24"/>
          <w:szCs w:val="24"/>
          <w:lang w:val="zh-CN"/>
        </w:rPr>
        <w:t>.</w:t>
      </w:r>
      <w:r>
        <w:rPr>
          <w:rFonts w:hint="eastAsia" w:ascii="宋体" w:hAnsi="宋体" w:cs="仿宋_GB2312"/>
          <w:sz w:val="24"/>
          <w:szCs w:val="24"/>
        </w:rPr>
        <w:t>1.</w:t>
      </w:r>
      <w:r>
        <w:rPr>
          <w:rFonts w:hint="eastAsia" w:ascii="宋体" w:hAnsi="宋体" w:cs="仿宋_GB2312"/>
          <w:sz w:val="24"/>
          <w:szCs w:val="24"/>
          <w:lang w:val="zh-CN"/>
        </w:rPr>
        <w:t>4 使用银行转帐形式的，于缴纳截止时间前通过供应商注册银行账户将款项一次足额递交、成功绑定，以收款人到账时间为准，在途资金无效，视为未按时交纳。同时供应商应承担节假日、异地、跨行等银行系统不能支付的风险。</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rPr>
        <w:t>7</w:t>
      </w:r>
      <w:r>
        <w:rPr>
          <w:rFonts w:hint="eastAsia" w:ascii="宋体" w:hAnsi="宋体" w:cs="仿宋_GB2312"/>
          <w:sz w:val="24"/>
          <w:szCs w:val="24"/>
          <w:lang w:val="zh-CN"/>
        </w:rPr>
        <w:t>.</w:t>
      </w:r>
      <w:r>
        <w:rPr>
          <w:rFonts w:hint="eastAsia" w:ascii="宋体" w:hAnsi="宋体" w:cs="仿宋_GB2312"/>
          <w:sz w:val="24"/>
          <w:szCs w:val="24"/>
        </w:rPr>
        <w:t>1.</w:t>
      </w:r>
      <w:r>
        <w:rPr>
          <w:rFonts w:hint="eastAsia" w:ascii="宋体" w:hAnsi="宋体" w:cs="仿宋_GB2312"/>
          <w:sz w:val="24"/>
          <w:szCs w:val="24"/>
          <w:lang w:val="zh-CN"/>
        </w:rPr>
        <w:t>5 投标保证金缴纳：</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rPr>
        <w:t>7</w:t>
      </w:r>
      <w:r>
        <w:rPr>
          <w:rFonts w:hint="eastAsia" w:ascii="宋体" w:hAnsi="宋体" w:cs="仿宋_GB2312"/>
          <w:sz w:val="24"/>
          <w:szCs w:val="24"/>
          <w:lang w:val="zh-CN"/>
        </w:rPr>
        <w:t>.</w:t>
      </w:r>
      <w:r>
        <w:rPr>
          <w:rFonts w:hint="eastAsia" w:ascii="宋体" w:hAnsi="宋体" w:cs="仿宋_GB2312"/>
          <w:sz w:val="24"/>
          <w:szCs w:val="24"/>
        </w:rPr>
        <w:t>1.</w:t>
      </w:r>
      <w:r>
        <w:rPr>
          <w:rFonts w:hint="eastAsia" w:ascii="宋体" w:hAnsi="宋体" w:cs="仿宋_GB2312"/>
          <w:sz w:val="24"/>
          <w:szCs w:val="24"/>
          <w:lang w:val="zh-CN"/>
        </w:rPr>
        <w:t>6 每个供应商每个项目每个标包只有唯一缴纳账号，切勿重复缴纳或错误缴纳。</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rPr>
        <w:t>7</w:t>
      </w:r>
      <w:r>
        <w:rPr>
          <w:rFonts w:hint="eastAsia" w:ascii="宋体" w:hAnsi="宋体" w:cs="仿宋_GB2312"/>
          <w:sz w:val="24"/>
          <w:szCs w:val="24"/>
          <w:lang w:val="zh-CN"/>
        </w:rPr>
        <w:t>.</w:t>
      </w:r>
      <w:r>
        <w:rPr>
          <w:rFonts w:hint="eastAsia" w:ascii="宋体" w:hAnsi="宋体" w:cs="仿宋_GB2312"/>
          <w:sz w:val="24"/>
          <w:szCs w:val="24"/>
        </w:rPr>
        <w:t>1.</w:t>
      </w:r>
      <w:r>
        <w:rPr>
          <w:rFonts w:hint="eastAsia" w:ascii="宋体" w:hAnsi="宋体" w:cs="仿宋_GB2312"/>
          <w:sz w:val="24"/>
          <w:szCs w:val="24"/>
          <w:lang w:val="zh-CN"/>
        </w:rPr>
        <w:t>7 供应商所提交的投标保证金仅限当次投标项目（标包）有效，不得重复替代使用。一个招标项目有多个标包或者有多个项目同时招标的，供应商必须按项目、标包分别提交投标保证金。</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17.1.8 不同供应商的投标保证金不得从同一单位或者个人的账户转出。</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rPr>
        <w:t>7</w:t>
      </w:r>
      <w:r>
        <w:rPr>
          <w:rFonts w:hint="eastAsia" w:ascii="宋体" w:hAnsi="宋体" w:cs="仿宋_GB2312"/>
          <w:sz w:val="24"/>
          <w:szCs w:val="24"/>
          <w:lang w:val="zh-CN"/>
        </w:rPr>
        <w:t>.</w:t>
      </w:r>
      <w:r>
        <w:rPr>
          <w:rFonts w:hint="eastAsia" w:ascii="宋体" w:hAnsi="宋体" w:cs="仿宋_GB2312"/>
          <w:sz w:val="24"/>
          <w:szCs w:val="24"/>
        </w:rPr>
        <w:t>1.9</w:t>
      </w:r>
      <w:r>
        <w:rPr>
          <w:rFonts w:hint="eastAsia" w:ascii="宋体" w:hAnsi="宋体" w:cs="仿宋_GB2312"/>
          <w:sz w:val="24"/>
          <w:szCs w:val="24"/>
          <w:lang w:val="zh-CN"/>
        </w:rPr>
        <w:t xml:space="preserve"> 未按上述规定操作引起的无效投标，由供应商自行负责。</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rPr>
        <w:t xml:space="preserve">17.1.10 </w:t>
      </w:r>
      <w:r>
        <w:rPr>
          <w:rFonts w:hint="eastAsia" w:ascii="宋体" w:hAnsi="宋体" w:cs="仿宋_GB2312"/>
          <w:sz w:val="24"/>
          <w:szCs w:val="24"/>
          <w:lang w:val="zh-CN"/>
        </w:rPr>
        <w:t>汇款凭证无需备注项目编号和项目名称。</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sz w:val="24"/>
          <w:szCs w:val="24"/>
        </w:rPr>
      </w:pPr>
      <w:r>
        <w:rPr>
          <w:rFonts w:hint="eastAsia" w:ascii="宋体" w:hAnsi="宋体" w:cs="宋体"/>
          <w:b/>
          <w:kern w:val="0"/>
          <w:sz w:val="24"/>
          <w:szCs w:val="24"/>
        </w:rPr>
        <w:t>17.2 投标保证金的退还</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rPr>
        <w:t>6</w:t>
      </w:r>
      <w:r>
        <w:rPr>
          <w:rFonts w:hint="eastAsia" w:ascii="宋体" w:hAnsi="宋体" w:cs="仿宋_GB2312"/>
          <w:sz w:val="24"/>
          <w:szCs w:val="24"/>
          <w:lang w:val="zh-CN"/>
        </w:rPr>
        <w:t>.</w:t>
      </w:r>
      <w:r>
        <w:rPr>
          <w:rFonts w:hint="eastAsia" w:ascii="宋体" w:hAnsi="宋体" w:cs="仿宋_GB2312"/>
          <w:sz w:val="24"/>
          <w:szCs w:val="24"/>
        </w:rPr>
        <w:t xml:space="preserve">2.1 </w:t>
      </w:r>
      <w:r>
        <w:rPr>
          <w:rFonts w:hint="eastAsia" w:ascii="宋体" w:hAnsi="宋体" w:cs="仿宋_GB2312"/>
          <w:sz w:val="24"/>
          <w:szCs w:val="24"/>
          <w:lang w:val="zh-CN"/>
        </w:rPr>
        <w:t>退还投标保证金时，区别中标与否，按不同时序由银行按来款途径退还原账户。</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rPr>
        <w:t>7</w:t>
      </w:r>
      <w:r>
        <w:rPr>
          <w:rFonts w:hint="eastAsia" w:ascii="宋体" w:hAnsi="宋体" w:cs="仿宋_GB2312"/>
          <w:sz w:val="24"/>
          <w:szCs w:val="24"/>
          <w:lang w:val="zh-CN"/>
        </w:rPr>
        <w:t>.</w:t>
      </w:r>
      <w:r>
        <w:rPr>
          <w:rFonts w:hint="eastAsia" w:ascii="宋体" w:hAnsi="宋体" w:cs="仿宋_GB2312"/>
          <w:sz w:val="24"/>
          <w:szCs w:val="24"/>
        </w:rPr>
        <w:t>2.1.1</w:t>
      </w:r>
      <w:r>
        <w:rPr>
          <w:rFonts w:hint="eastAsia" w:ascii="宋体" w:hAnsi="宋体" w:cs="仿宋_GB2312"/>
          <w:sz w:val="24"/>
          <w:szCs w:val="24"/>
          <w:lang w:val="zh-CN"/>
        </w:rPr>
        <w:t xml:space="preserve"> 自中标通知书发出之日起</w:t>
      </w:r>
      <w:r>
        <w:rPr>
          <w:rFonts w:ascii="宋体" w:hAnsi="宋体" w:cs="仿宋_GB2312"/>
          <w:sz w:val="24"/>
          <w:szCs w:val="24"/>
          <w:lang w:val="zh-CN"/>
        </w:rPr>
        <w:t>5</w:t>
      </w:r>
      <w:r>
        <w:rPr>
          <w:rFonts w:hint="eastAsia" w:ascii="宋体" w:hAnsi="宋体" w:cs="仿宋_GB2312"/>
          <w:sz w:val="24"/>
          <w:szCs w:val="24"/>
          <w:lang w:val="zh-CN"/>
        </w:rPr>
        <w:t>个工作日内退还未中标人的投标保证金。1</w:t>
      </w:r>
      <w:r>
        <w:rPr>
          <w:rFonts w:hint="eastAsia" w:ascii="宋体" w:hAnsi="宋体" w:cs="仿宋_GB2312"/>
          <w:sz w:val="24"/>
          <w:szCs w:val="24"/>
        </w:rPr>
        <w:t>7</w:t>
      </w:r>
      <w:r>
        <w:rPr>
          <w:rFonts w:hint="eastAsia" w:ascii="宋体" w:hAnsi="宋体" w:cs="仿宋_GB2312"/>
          <w:sz w:val="24"/>
          <w:szCs w:val="24"/>
          <w:lang w:val="zh-CN"/>
        </w:rPr>
        <w:t>.</w:t>
      </w:r>
      <w:r>
        <w:rPr>
          <w:rFonts w:hint="eastAsia" w:ascii="宋体" w:hAnsi="宋体" w:cs="仿宋_GB2312"/>
          <w:sz w:val="24"/>
          <w:szCs w:val="24"/>
        </w:rPr>
        <w:t>2.1.2</w:t>
      </w:r>
      <w:r>
        <w:rPr>
          <w:rFonts w:hint="eastAsia" w:ascii="宋体" w:hAnsi="宋体" w:cs="仿宋_GB2312"/>
          <w:sz w:val="24"/>
          <w:szCs w:val="24"/>
          <w:lang w:val="zh-CN"/>
        </w:rPr>
        <w:t xml:space="preserve"> 自采购合同签订之日起</w:t>
      </w:r>
      <w:r>
        <w:rPr>
          <w:rFonts w:ascii="宋体" w:hAnsi="宋体" w:cs="仿宋_GB2312"/>
          <w:sz w:val="24"/>
          <w:szCs w:val="24"/>
          <w:lang w:val="zh-CN"/>
        </w:rPr>
        <w:t>5</w:t>
      </w:r>
      <w:r>
        <w:rPr>
          <w:rFonts w:hint="eastAsia" w:ascii="宋体" w:hAnsi="宋体" w:cs="仿宋_GB2312"/>
          <w:sz w:val="24"/>
          <w:szCs w:val="24"/>
          <w:lang w:val="zh-CN"/>
        </w:rPr>
        <w:t>个工作日内退还中标人的投标保证金。（向代理机构提交合同原件或者复印件）</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rPr>
        <w:t>17.2.1.3 特殊情况处理：供应商投标过程中因账户开户银行、银行账号发生变化，不能按照来款途径原路返还投标保证金的，供应商须提供原账户开户银行相关证明及新开账户开户许可证，到</w:t>
      </w:r>
      <w:r>
        <w:rPr>
          <w:rFonts w:hint="eastAsia" w:ascii="宋体" w:hAnsi="宋体" w:cs="仿宋_GB2312"/>
          <w:sz w:val="24"/>
          <w:szCs w:val="24"/>
          <w:lang w:val="zh-CN"/>
        </w:rPr>
        <w:t>代理机构</w:t>
      </w:r>
      <w:r>
        <w:rPr>
          <w:rFonts w:hint="eastAsia" w:ascii="宋体" w:hAnsi="宋体" w:cs="仿宋_GB2312"/>
          <w:sz w:val="24"/>
          <w:szCs w:val="24"/>
        </w:rPr>
        <w:t>办理退款手续。</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rPr>
        <w:t>17.2.1.4 因供应商自身原因无法及时退还投标保证金，滞留三年以上的，投标保证金上缴代理机构。</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rPr>
        <w:t>7</w:t>
      </w:r>
      <w:r>
        <w:rPr>
          <w:rFonts w:hint="eastAsia" w:ascii="宋体" w:hAnsi="宋体" w:cs="仿宋_GB2312"/>
          <w:sz w:val="24"/>
          <w:szCs w:val="24"/>
          <w:lang w:val="zh-CN"/>
        </w:rPr>
        <w:t>.</w:t>
      </w:r>
      <w:r>
        <w:rPr>
          <w:rFonts w:hint="eastAsia" w:ascii="宋体" w:hAnsi="宋体" w:cs="仿宋_GB2312"/>
          <w:sz w:val="24"/>
          <w:szCs w:val="24"/>
        </w:rPr>
        <w:t>2.2</w:t>
      </w:r>
      <w:r>
        <w:rPr>
          <w:rFonts w:hint="eastAsia" w:ascii="宋体" w:hAnsi="宋体" w:cs="仿宋_GB2312"/>
          <w:sz w:val="24"/>
          <w:szCs w:val="24"/>
          <w:lang w:val="zh-CN"/>
        </w:rPr>
        <w:t xml:space="preserve"> 有下列情形之一的，投标保证金不予退还</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rPr>
        <w:t>7</w:t>
      </w:r>
      <w:r>
        <w:rPr>
          <w:rFonts w:hint="eastAsia" w:ascii="宋体" w:hAnsi="宋体" w:cs="仿宋_GB2312"/>
          <w:sz w:val="24"/>
          <w:szCs w:val="24"/>
          <w:lang w:val="zh-CN"/>
        </w:rPr>
        <w:t>.</w:t>
      </w:r>
      <w:r>
        <w:rPr>
          <w:rFonts w:hint="eastAsia" w:ascii="宋体" w:hAnsi="宋体" w:cs="仿宋_GB2312"/>
          <w:sz w:val="24"/>
          <w:szCs w:val="24"/>
        </w:rPr>
        <w:t xml:space="preserve">2.2.1 </w:t>
      </w:r>
      <w:r>
        <w:rPr>
          <w:rFonts w:hint="eastAsia" w:ascii="宋体" w:hAnsi="宋体" w:cs="仿宋_GB2312"/>
          <w:sz w:val="24"/>
          <w:szCs w:val="24"/>
          <w:lang w:val="zh-CN"/>
        </w:rPr>
        <w:t>投标有效期内供应商撤销投标文件的；</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rPr>
        <w:t>7</w:t>
      </w:r>
      <w:r>
        <w:rPr>
          <w:rFonts w:hint="eastAsia" w:ascii="宋体" w:hAnsi="宋体" w:cs="仿宋_GB2312"/>
          <w:sz w:val="24"/>
          <w:szCs w:val="24"/>
          <w:lang w:val="zh-CN"/>
        </w:rPr>
        <w:t>.</w:t>
      </w:r>
      <w:r>
        <w:rPr>
          <w:rFonts w:hint="eastAsia" w:ascii="宋体" w:hAnsi="宋体" w:cs="仿宋_GB2312"/>
          <w:sz w:val="24"/>
          <w:szCs w:val="24"/>
        </w:rPr>
        <w:t xml:space="preserve">2.2.2 </w:t>
      </w:r>
      <w:r>
        <w:rPr>
          <w:rFonts w:hint="eastAsia" w:ascii="宋体" w:hAnsi="宋体" w:cs="仿宋_GB2312"/>
          <w:sz w:val="24"/>
          <w:szCs w:val="24"/>
          <w:lang w:val="zh-CN"/>
        </w:rPr>
        <w:t>供应商在投标文件中提供虚假材料的；</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lang w:val="zh-CN"/>
        </w:rPr>
        <w:t>1</w:t>
      </w:r>
      <w:r>
        <w:rPr>
          <w:rFonts w:hint="eastAsia" w:ascii="宋体" w:hAnsi="宋体" w:cs="仿宋_GB2312"/>
          <w:sz w:val="24"/>
          <w:szCs w:val="24"/>
        </w:rPr>
        <w:t>7</w:t>
      </w:r>
      <w:r>
        <w:rPr>
          <w:rFonts w:hint="eastAsia" w:ascii="宋体" w:hAnsi="宋体" w:cs="仿宋_GB2312"/>
          <w:sz w:val="24"/>
          <w:szCs w:val="24"/>
          <w:lang w:val="zh-CN"/>
        </w:rPr>
        <w:t>.</w:t>
      </w:r>
      <w:r>
        <w:rPr>
          <w:rFonts w:hint="eastAsia" w:ascii="宋体" w:hAnsi="宋体" w:cs="仿宋_GB2312"/>
          <w:sz w:val="24"/>
          <w:szCs w:val="24"/>
        </w:rPr>
        <w:t>2.2.3 除因不可抗力或招标文件认可的情形以外，中标人不与采购人签订合同的；</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rPr>
        <w:t>17.2.2.4 供应商与采购人、其他供应商或者采购代理机构恶意串通的；</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rPr>
        <w:t>17.2.2.5 法律法规及招标文件规定的其他情形。</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1</w:t>
      </w:r>
      <w:r>
        <w:rPr>
          <w:rFonts w:hint="eastAsia" w:ascii="宋体" w:hAnsi="宋体" w:cs="仿宋_GB2312"/>
          <w:b/>
          <w:sz w:val="24"/>
          <w:szCs w:val="24"/>
        </w:rPr>
        <w:t>8</w:t>
      </w:r>
      <w:r>
        <w:rPr>
          <w:rFonts w:hint="eastAsia" w:ascii="宋体" w:hAnsi="宋体" w:cs="仿宋_GB2312"/>
          <w:b/>
          <w:sz w:val="24"/>
          <w:szCs w:val="24"/>
          <w:lang w:val="zh-CN"/>
        </w:rPr>
        <w:t>. 投标文件的数量和签署盖章</w:t>
      </w:r>
    </w:p>
    <w:p>
      <w:pPr>
        <w:keepNext w:val="0"/>
        <w:keepLines w:val="0"/>
        <w:pageBreakBefore w:val="0"/>
        <w:kinsoku/>
        <w:wordWrap/>
        <w:overflowPunct/>
        <w:topLinePunct w:val="0"/>
        <w:autoSpaceDE w:val="0"/>
        <w:autoSpaceDN w:val="0"/>
        <w:bidi w:val="0"/>
        <w:adjustRightInd w:val="0"/>
        <w:snapToGrid/>
        <w:spacing w:line="360" w:lineRule="auto"/>
        <w:ind w:firstLine="480" w:firstLineChars="200"/>
        <w:textAlignment w:val="auto"/>
        <w:rPr>
          <w:rFonts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rPr>
        <w:t>8</w:t>
      </w:r>
      <w:r>
        <w:rPr>
          <w:rFonts w:hint="eastAsia" w:ascii="宋体" w:hAnsi="宋体" w:cs="仿宋_GB2312"/>
          <w:sz w:val="24"/>
          <w:szCs w:val="24"/>
          <w:lang w:val="zh-CN"/>
        </w:rPr>
        <w:t>.1 供应商应提交投标文件份数见“供应商须知前附表”。</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rPr>
        <w:t>8</w:t>
      </w:r>
      <w:r>
        <w:rPr>
          <w:rFonts w:hint="eastAsia" w:ascii="宋体" w:hAnsi="宋体" w:cs="仿宋_GB2312"/>
          <w:sz w:val="24"/>
          <w:szCs w:val="24"/>
          <w:lang w:val="zh-CN"/>
        </w:rPr>
        <w:t>.2 在招标文件中已明示需盖章及签名</w:t>
      </w:r>
      <w:r>
        <w:rPr>
          <w:rFonts w:hint="eastAsia" w:ascii="新宋体" w:hAnsi="新宋体" w:eastAsia="新宋体"/>
          <w:sz w:val="24"/>
        </w:rPr>
        <w:t>。</w:t>
      </w:r>
    </w:p>
    <w:p>
      <w:pPr>
        <w:keepNext w:val="0"/>
        <w:keepLines w:val="0"/>
        <w:pageBreakBefore w:val="0"/>
        <w:kinsoku/>
        <w:wordWrap/>
        <w:overflowPunct/>
        <w:topLinePunct w:val="0"/>
        <w:autoSpaceDE w:val="0"/>
        <w:autoSpaceDN w:val="0"/>
        <w:bidi w:val="0"/>
        <w:adjustRightInd w:val="0"/>
        <w:snapToGrid/>
        <w:spacing w:line="360" w:lineRule="auto"/>
        <w:ind w:firstLine="480" w:firstLineChars="200"/>
        <w:textAlignment w:val="auto"/>
        <w:rPr>
          <w:rFonts w:ascii="宋体" w:hAnsi="宋体" w:cs="仿宋_GB2312"/>
          <w:sz w:val="24"/>
          <w:szCs w:val="24"/>
          <w:lang w:val="zh-CN"/>
        </w:rPr>
      </w:pPr>
      <w:r>
        <w:rPr>
          <w:rFonts w:hint="eastAsia" w:ascii="宋体" w:hAnsi="宋体" w:cs="仿宋_GB2312"/>
          <w:sz w:val="24"/>
          <w:szCs w:val="24"/>
          <w:lang w:val="zh-CN"/>
        </w:rPr>
        <w:t>18.3纸质投标文件的正本及所有副本的封面均须由供应商加盖供应商公章。</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rPr>
        <w:t>8</w:t>
      </w:r>
      <w:r>
        <w:rPr>
          <w:rFonts w:hint="eastAsia" w:ascii="宋体" w:hAnsi="宋体" w:cs="仿宋_GB2312"/>
          <w:sz w:val="24"/>
          <w:szCs w:val="24"/>
          <w:lang w:val="zh-CN"/>
        </w:rPr>
        <w:t>.4 纸质投标文件副本可以是纸质投标文件的正本复印而成。</w:t>
      </w:r>
    </w:p>
    <w:p>
      <w:pPr>
        <w:keepNext w:val="0"/>
        <w:keepLines w:val="0"/>
        <w:pageBreakBefore w:val="0"/>
        <w:tabs>
          <w:tab w:val="left" w:pos="1260"/>
        </w:tabs>
        <w:kinsoku/>
        <w:wordWrap/>
        <w:overflowPunct/>
        <w:topLinePunct w:val="0"/>
        <w:autoSpaceDE w:val="0"/>
        <w:autoSpaceDN w:val="0"/>
        <w:bidi w:val="0"/>
        <w:snapToGrid/>
        <w:spacing w:line="360" w:lineRule="auto"/>
        <w:ind w:firstLine="562" w:firstLineChars="200"/>
        <w:contextualSpacing/>
        <w:jc w:val="center"/>
        <w:textAlignment w:val="auto"/>
        <w:rPr>
          <w:rFonts w:ascii="宋体" w:hAnsi="宋体" w:cs="宋体"/>
          <w:b/>
          <w:kern w:val="0"/>
          <w:sz w:val="28"/>
          <w:szCs w:val="28"/>
        </w:rPr>
      </w:pPr>
      <w:r>
        <w:rPr>
          <w:rFonts w:hint="eastAsia" w:ascii="宋体" w:hAnsi="宋体" w:cs="宋体"/>
          <w:b/>
          <w:kern w:val="0"/>
          <w:sz w:val="28"/>
          <w:szCs w:val="28"/>
        </w:rPr>
        <w:t>四、投标文件的递交</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rPr>
        <w:t>19</w:t>
      </w:r>
      <w:r>
        <w:rPr>
          <w:rFonts w:hint="eastAsia" w:ascii="宋体" w:hAnsi="宋体" w:cs="仿宋_GB2312"/>
          <w:b/>
          <w:sz w:val="24"/>
          <w:szCs w:val="24"/>
          <w:lang w:val="zh-CN"/>
        </w:rPr>
        <w:t>.投标文件的密封</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rPr>
        <w:t>19</w:t>
      </w:r>
      <w:r>
        <w:rPr>
          <w:rFonts w:hint="eastAsia" w:ascii="宋体" w:hAnsi="宋体" w:cs="仿宋_GB2312"/>
          <w:sz w:val="24"/>
          <w:szCs w:val="24"/>
          <w:lang w:val="zh-CN"/>
        </w:rPr>
        <w:t>.1 供应商应将纸质投标文件“正本”、“ 副本”密封包装同一包封中。</w:t>
      </w:r>
      <w:r>
        <w:rPr>
          <w:rFonts w:hint="eastAsia" w:hAnsi="宋体" w:cs="宋体"/>
          <w:sz w:val="24"/>
        </w:rPr>
        <w:t>使用电子介质存储的投标文件单独密封包装并由被委托人签字，随纸质投标文件一并提交。</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rPr>
        <w:t>19</w:t>
      </w:r>
      <w:r>
        <w:rPr>
          <w:rFonts w:hint="eastAsia" w:ascii="宋体" w:hAnsi="宋体" w:cs="仿宋_GB2312"/>
          <w:sz w:val="24"/>
          <w:szCs w:val="24"/>
          <w:lang w:val="zh-CN"/>
        </w:rPr>
        <w:t>.2 投标文件如果未按规定密封或提供缴纳保证金凭证原件的，采购人有权拒绝接收。</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rPr>
        <w:t>20</w:t>
      </w:r>
      <w:r>
        <w:rPr>
          <w:rFonts w:hint="eastAsia" w:ascii="宋体" w:hAnsi="宋体" w:cs="仿宋_GB2312"/>
          <w:b/>
          <w:sz w:val="24"/>
          <w:szCs w:val="24"/>
          <w:lang w:val="zh-CN"/>
        </w:rPr>
        <w:t>．投标截止时间</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bCs/>
          <w:sz w:val="24"/>
          <w:szCs w:val="24"/>
        </w:rPr>
      </w:pPr>
      <w:r>
        <w:rPr>
          <w:rFonts w:hint="eastAsia" w:ascii="宋体" w:hAnsi="宋体" w:cs="仿宋_GB2312"/>
          <w:sz w:val="24"/>
          <w:szCs w:val="24"/>
        </w:rPr>
        <w:t>20</w:t>
      </w:r>
      <w:r>
        <w:rPr>
          <w:rFonts w:hint="eastAsia" w:ascii="宋体" w:hAnsi="宋体" w:cs="仿宋_GB2312"/>
          <w:sz w:val="24"/>
          <w:szCs w:val="24"/>
          <w:lang w:val="zh-CN"/>
        </w:rPr>
        <w:t>．1 供应商必须在</w:t>
      </w:r>
      <w:r>
        <w:rPr>
          <w:rFonts w:hint="eastAsia" w:ascii="宋体" w:hAnsi="宋体" w:cs="宋体"/>
          <w:kern w:val="0"/>
          <w:sz w:val="24"/>
          <w:szCs w:val="24"/>
        </w:rPr>
        <w:t>“投标邀请”</w:t>
      </w:r>
      <w:r>
        <w:rPr>
          <w:rFonts w:hint="eastAsia" w:ascii="宋体" w:hAnsi="宋体"/>
          <w:bCs/>
          <w:sz w:val="24"/>
          <w:szCs w:val="24"/>
        </w:rPr>
        <w:t>和“供应商须知前附表”中规定的投标截止时间前，将所有投标文件送达招标文件指定的开标地点。</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bCs/>
          <w:sz w:val="24"/>
          <w:szCs w:val="24"/>
        </w:rPr>
      </w:pPr>
      <w:r>
        <w:rPr>
          <w:rFonts w:hint="eastAsia" w:ascii="宋体" w:hAnsi="宋体"/>
          <w:bCs/>
          <w:sz w:val="24"/>
          <w:szCs w:val="24"/>
        </w:rPr>
        <w:t>20.2 采购人收到投标文件后，应当如实记载投标文件的送达时间和密封情况，签收保存，并向供应商出具签收回执。任何单位和个人不得在开标前开启投标文件。</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bCs/>
          <w:sz w:val="24"/>
          <w:szCs w:val="24"/>
        </w:rPr>
      </w:pPr>
      <w:r>
        <w:rPr>
          <w:rFonts w:hint="eastAsia" w:ascii="宋体" w:hAnsi="宋体" w:cs="仿宋_GB2312"/>
          <w:sz w:val="24"/>
          <w:szCs w:val="24"/>
          <w:lang w:val="zh-CN"/>
        </w:rPr>
        <w:t xml:space="preserve">20.3 </w:t>
      </w:r>
      <w:r>
        <w:rPr>
          <w:rFonts w:hint="eastAsia" w:ascii="宋体" w:hAnsi="宋体"/>
          <w:bCs/>
          <w:sz w:val="24"/>
          <w:szCs w:val="24"/>
        </w:rPr>
        <w:t>采购人可以按本须知第10条规定，通过修改招标文件自行决定酌情延长投标截止期。在此情况下，采购人和供应商受投标截止期制约的所有权利和义务均应延长至新的截止日期和时间。供应商按采购人修改通知规定的时间递交投标文件。</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rPr>
        <w:t>21</w:t>
      </w:r>
      <w:r>
        <w:rPr>
          <w:rFonts w:hint="eastAsia" w:ascii="宋体" w:hAnsi="宋体" w:cs="仿宋_GB2312"/>
          <w:b/>
          <w:sz w:val="24"/>
          <w:szCs w:val="24"/>
          <w:lang w:val="zh-CN"/>
        </w:rPr>
        <w:t>. 迟交的投标文件</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投标截止时间之后送达/上传的投标文件，采购人将拒绝接收。</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2</w:t>
      </w:r>
      <w:r>
        <w:rPr>
          <w:rFonts w:hint="eastAsia" w:ascii="宋体" w:hAnsi="宋体" w:cs="仿宋_GB2312"/>
          <w:b/>
          <w:sz w:val="24"/>
          <w:szCs w:val="24"/>
        </w:rPr>
        <w:t>2</w:t>
      </w:r>
      <w:r>
        <w:rPr>
          <w:rFonts w:hint="eastAsia" w:ascii="宋体" w:hAnsi="宋体" w:cs="仿宋_GB2312"/>
          <w:b/>
          <w:sz w:val="24"/>
          <w:szCs w:val="24"/>
          <w:lang w:val="zh-CN"/>
        </w:rPr>
        <w:t>. 投标文件的修改和撤回</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2</w:t>
      </w:r>
      <w:r>
        <w:rPr>
          <w:rFonts w:hint="eastAsia" w:ascii="宋体" w:hAnsi="宋体" w:cs="仿宋_GB2312"/>
          <w:sz w:val="24"/>
          <w:szCs w:val="24"/>
          <w:lang w:val="zh-CN"/>
        </w:rPr>
        <w:t>.1 供应商在投标截止时间前，对所递交的纸质投标文件进行补充、修改或者撤回的，须书面通知采购人。</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hAnsi="宋体" w:cs="宋体"/>
          <w:sz w:val="24"/>
        </w:rPr>
        <w:t>供应商应当在投标截止时间前完成电子投标文件的提交，可以补充、修改或撤回。投标截止时间前未完成电子投标文件提交、取得“投标文件提交回执单”的，视为撤回投标文件。</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2</w:t>
      </w:r>
      <w:r>
        <w:rPr>
          <w:rFonts w:hint="eastAsia" w:ascii="宋体" w:hAnsi="宋体" w:cs="仿宋_GB2312"/>
          <w:sz w:val="24"/>
          <w:szCs w:val="24"/>
          <w:lang w:val="zh-CN"/>
        </w:rPr>
        <w:t xml:space="preserve">.2 </w:t>
      </w:r>
      <w:r>
        <w:rPr>
          <w:rFonts w:hint="eastAsia" w:ascii="宋体" w:hAnsi="宋体"/>
          <w:bCs/>
          <w:sz w:val="24"/>
          <w:szCs w:val="24"/>
        </w:rPr>
        <w:t>供应商</w:t>
      </w:r>
      <w:r>
        <w:rPr>
          <w:rFonts w:hint="eastAsia" w:ascii="宋体" w:hAnsi="宋体" w:cs="仿宋_GB2312"/>
          <w:sz w:val="24"/>
          <w:szCs w:val="24"/>
          <w:lang w:val="zh-CN"/>
        </w:rPr>
        <w:t>补充、修改的内容并作为投标文件的组成部分。</w:t>
      </w:r>
      <w:r>
        <w:rPr>
          <w:rFonts w:hint="eastAsia" w:ascii="宋体" w:hAnsi="宋体"/>
          <w:bCs/>
          <w:sz w:val="24"/>
          <w:szCs w:val="24"/>
        </w:rPr>
        <w:t>补充或修改</w:t>
      </w:r>
      <w:r>
        <w:rPr>
          <w:rFonts w:hint="eastAsia" w:ascii="宋体" w:hAnsi="宋体" w:cs="仿宋_GB2312"/>
          <w:sz w:val="24"/>
          <w:szCs w:val="24"/>
          <w:lang w:val="zh-CN"/>
        </w:rPr>
        <w:t>应当按招标文件要求签署、盖章、</w:t>
      </w:r>
      <w:r>
        <w:rPr>
          <w:rFonts w:hint="eastAsia" w:ascii="宋体" w:hAnsi="宋体"/>
          <w:bCs/>
          <w:sz w:val="24"/>
          <w:szCs w:val="24"/>
        </w:rPr>
        <w:t>密封</w:t>
      </w:r>
      <w:r>
        <w:rPr>
          <w:rFonts w:hint="eastAsia" w:ascii="宋体" w:hAnsi="宋体" w:cs="仿宋_GB2312"/>
          <w:sz w:val="24"/>
          <w:szCs w:val="24"/>
          <w:lang w:val="zh-CN"/>
        </w:rPr>
        <w:t>、递交，</w:t>
      </w:r>
      <w:r>
        <w:rPr>
          <w:rFonts w:hint="eastAsia" w:ascii="宋体" w:hAnsi="宋体"/>
          <w:bCs/>
          <w:sz w:val="24"/>
          <w:szCs w:val="24"/>
        </w:rPr>
        <w:t>并应注明“修改</w:t>
      </w:r>
      <w:r>
        <w:rPr>
          <w:rFonts w:ascii="宋体" w:hAnsi="宋体"/>
          <w:bCs/>
          <w:sz w:val="24"/>
          <w:szCs w:val="24"/>
        </w:rPr>
        <w:t>”</w:t>
      </w:r>
      <w:r>
        <w:rPr>
          <w:rFonts w:hint="eastAsia" w:ascii="宋体" w:hAnsi="宋体"/>
          <w:bCs/>
          <w:sz w:val="24"/>
          <w:szCs w:val="24"/>
        </w:rPr>
        <w:t>或“补充</w:t>
      </w:r>
      <w:r>
        <w:rPr>
          <w:rFonts w:ascii="宋体" w:hAnsi="宋体"/>
          <w:bCs/>
          <w:sz w:val="24"/>
          <w:szCs w:val="24"/>
        </w:rPr>
        <w:t>”</w:t>
      </w:r>
      <w:r>
        <w:rPr>
          <w:rFonts w:hint="eastAsia" w:ascii="宋体" w:hAnsi="宋体"/>
          <w:bCs/>
          <w:sz w:val="24"/>
          <w:szCs w:val="24"/>
        </w:rPr>
        <w:t>字样。</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2</w:t>
      </w:r>
      <w:r>
        <w:rPr>
          <w:rFonts w:hint="eastAsia" w:ascii="宋体" w:hAnsi="宋体" w:cs="仿宋_GB2312"/>
          <w:sz w:val="24"/>
          <w:szCs w:val="24"/>
          <w:lang w:val="zh-CN"/>
        </w:rPr>
        <w:t>.3 供应商在递交投标文件后，可以撤回其投标，但供应商必须在规定的投标截止时间前以书面形式告知采购人。</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kern w:val="0"/>
          <w:sz w:val="24"/>
          <w:szCs w:val="24"/>
        </w:rPr>
      </w:pPr>
      <w:r>
        <w:rPr>
          <w:rFonts w:hint="eastAsia" w:ascii="宋体" w:hAnsi="宋体" w:cs="仿宋_GB2312"/>
          <w:sz w:val="24"/>
          <w:szCs w:val="24"/>
          <w:lang w:val="zh-CN"/>
        </w:rPr>
        <w:t>2</w:t>
      </w:r>
      <w:r>
        <w:rPr>
          <w:rFonts w:hint="eastAsia" w:ascii="宋体" w:hAnsi="宋体" w:cs="仿宋_GB2312"/>
          <w:sz w:val="24"/>
          <w:szCs w:val="24"/>
        </w:rPr>
        <w:t>2</w:t>
      </w:r>
      <w:r>
        <w:rPr>
          <w:rFonts w:hint="eastAsia" w:ascii="宋体" w:hAnsi="宋体" w:cs="仿宋_GB2312"/>
          <w:sz w:val="24"/>
          <w:szCs w:val="24"/>
          <w:lang w:val="zh-CN"/>
        </w:rPr>
        <w:t xml:space="preserve">.4  </w:t>
      </w:r>
      <w:r>
        <w:rPr>
          <w:rFonts w:hint="eastAsia" w:ascii="宋体" w:hAnsi="宋体" w:cs="宋体"/>
          <w:kern w:val="0"/>
          <w:sz w:val="24"/>
          <w:szCs w:val="24"/>
        </w:rPr>
        <w:t>供应商不得在投标有效期内撤销投标文件，否则采购人将不退还其投标保证金。</w:t>
      </w:r>
    </w:p>
    <w:p>
      <w:pPr>
        <w:keepNext w:val="0"/>
        <w:keepLines w:val="0"/>
        <w:pageBreakBefore w:val="0"/>
        <w:kinsoku/>
        <w:wordWrap/>
        <w:overflowPunct/>
        <w:topLinePunct w:val="0"/>
        <w:autoSpaceDE w:val="0"/>
        <w:autoSpaceDN w:val="0"/>
        <w:bidi w:val="0"/>
        <w:snapToGrid/>
        <w:spacing w:line="360" w:lineRule="auto"/>
        <w:ind w:firstLine="482" w:firstLineChars="200"/>
        <w:contextualSpacing/>
        <w:textAlignment w:val="auto"/>
        <w:rPr>
          <w:rFonts w:ascii="宋体" w:hAnsi="宋体" w:cs="宋体"/>
          <w:b/>
          <w:kern w:val="0"/>
          <w:sz w:val="24"/>
          <w:szCs w:val="24"/>
        </w:rPr>
      </w:pPr>
      <w:r>
        <w:rPr>
          <w:rFonts w:hint="eastAsia" w:ascii="宋体" w:hAnsi="宋体" w:cs="宋体"/>
          <w:b/>
          <w:kern w:val="0"/>
          <w:sz w:val="24"/>
          <w:szCs w:val="24"/>
        </w:rPr>
        <w:t>23．</w:t>
      </w:r>
      <w:r>
        <w:rPr>
          <w:rFonts w:hint="eastAsia" w:hAnsi="宋体" w:cs="宋体"/>
          <w:b/>
          <w:sz w:val="24"/>
        </w:rPr>
        <w:t>除供应商须知前附表另有规定外，供应商所提交的电子投标文件、纸质投标文件不予退还。</w:t>
      </w:r>
    </w:p>
    <w:p>
      <w:pPr>
        <w:keepNext w:val="0"/>
        <w:keepLines w:val="0"/>
        <w:pageBreakBefore w:val="0"/>
        <w:tabs>
          <w:tab w:val="left" w:pos="1260"/>
        </w:tabs>
        <w:kinsoku/>
        <w:wordWrap/>
        <w:overflowPunct/>
        <w:topLinePunct w:val="0"/>
        <w:autoSpaceDE w:val="0"/>
        <w:autoSpaceDN w:val="0"/>
        <w:bidi w:val="0"/>
        <w:snapToGrid/>
        <w:spacing w:line="360" w:lineRule="auto"/>
        <w:ind w:firstLine="562" w:firstLineChars="200"/>
        <w:contextualSpacing/>
        <w:jc w:val="center"/>
        <w:textAlignment w:val="auto"/>
        <w:rPr>
          <w:rFonts w:ascii="宋体" w:hAnsi="宋体" w:cs="宋体"/>
          <w:b/>
          <w:kern w:val="0"/>
          <w:sz w:val="28"/>
          <w:szCs w:val="28"/>
        </w:rPr>
      </w:pPr>
      <w:r>
        <w:rPr>
          <w:rFonts w:hint="eastAsia" w:ascii="宋体" w:hAnsi="宋体" w:cs="宋体"/>
          <w:b/>
          <w:kern w:val="0"/>
          <w:sz w:val="28"/>
          <w:szCs w:val="28"/>
        </w:rPr>
        <w:t>五、开标和评标</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2</w:t>
      </w:r>
      <w:r>
        <w:rPr>
          <w:rFonts w:hint="eastAsia" w:ascii="宋体" w:hAnsi="宋体" w:cs="仿宋_GB2312"/>
          <w:b/>
          <w:sz w:val="24"/>
          <w:szCs w:val="24"/>
        </w:rPr>
        <w:t>4</w:t>
      </w:r>
      <w:r>
        <w:rPr>
          <w:rFonts w:hint="eastAsia" w:ascii="宋体" w:hAnsi="宋体" w:cs="仿宋_GB2312"/>
          <w:b/>
          <w:sz w:val="24"/>
          <w:szCs w:val="24"/>
          <w:lang w:val="zh-CN"/>
        </w:rPr>
        <w:t>. 开标</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4</w:t>
      </w:r>
      <w:r>
        <w:rPr>
          <w:rFonts w:hint="eastAsia" w:ascii="宋体" w:hAnsi="宋体" w:cs="仿宋_GB2312"/>
          <w:sz w:val="24"/>
          <w:szCs w:val="24"/>
          <w:lang w:val="zh-CN"/>
        </w:rPr>
        <w:t>.1 采购人将按招标文件规定的时间和地点组织公开开标。开标由代理机构主持，邀请供应商参加。评标委员会成员不得参加开标活动。</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4</w:t>
      </w:r>
      <w:r>
        <w:rPr>
          <w:rFonts w:hint="eastAsia" w:ascii="宋体" w:hAnsi="宋体" w:cs="仿宋_GB2312"/>
          <w:sz w:val="24"/>
          <w:szCs w:val="24"/>
          <w:lang w:val="zh-CN"/>
        </w:rPr>
        <w:t>.2 采购人应当对开标、评标现场活动进行全程录音录像。录音录像应当清晰可辨，音像资料作为采购文件一并存档。</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4</w:t>
      </w:r>
      <w:r>
        <w:rPr>
          <w:rFonts w:hint="eastAsia" w:ascii="宋体" w:hAnsi="宋体" w:cs="仿宋_GB2312"/>
          <w:sz w:val="24"/>
          <w:szCs w:val="24"/>
          <w:lang w:val="zh-CN"/>
        </w:rPr>
        <w:t>.3 开标时，由供应商或者其推选的代表检查纸质投标文件和</w:t>
      </w:r>
      <w:r>
        <w:rPr>
          <w:rFonts w:hint="eastAsia" w:hAnsi="宋体" w:cs="宋体"/>
          <w:sz w:val="24"/>
        </w:rPr>
        <w:t>备份文件的</w:t>
      </w:r>
      <w:r>
        <w:rPr>
          <w:rFonts w:hint="eastAsia" w:ascii="宋体" w:hAnsi="宋体" w:cs="仿宋_GB2312"/>
          <w:sz w:val="24"/>
          <w:szCs w:val="24"/>
          <w:lang w:val="zh-CN"/>
        </w:rPr>
        <w:t>密封情况；宣布供应商名称、投标价格、修改和撤回投标的通知（如有的话）和招标文件规定的需要宣布的其他内容。</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4</w:t>
      </w:r>
      <w:r>
        <w:rPr>
          <w:rFonts w:hint="eastAsia" w:ascii="宋体" w:hAnsi="宋体" w:cs="仿宋_GB2312"/>
          <w:sz w:val="24"/>
          <w:szCs w:val="24"/>
          <w:lang w:val="zh-CN"/>
        </w:rPr>
        <w:t>.4 供应商不足3家的，不得开标。</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bCs/>
          <w:sz w:val="24"/>
          <w:szCs w:val="24"/>
        </w:rPr>
      </w:pPr>
      <w:r>
        <w:rPr>
          <w:rFonts w:hint="eastAsia" w:ascii="宋体" w:hAnsi="宋体" w:cs="仿宋_GB2312"/>
          <w:sz w:val="24"/>
          <w:szCs w:val="24"/>
          <w:lang w:val="zh-CN"/>
        </w:rPr>
        <w:t>2</w:t>
      </w:r>
      <w:r>
        <w:rPr>
          <w:rFonts w:hint="eastAsia" w:ascii="宋体" w:hAnsi="宋体" w:cs="仿宋_GB2312"/>
          <w:sz w:val="24"/>
          <w:szCs w:val="24"/>
        </w:rPr>
        <w:t>4</w:t>
      </w:r>
      <w:r>
        <w:rPr>
          <w:rFonts w:hint="eastAsia" w:ascii="宋体" w:hAnsi="宋体" w:cs="仿宋_GB2312"/>
          <w:sz w:val="24"/>
          <w:szCs w:val="24"/>
          <w:lang w:val="zh-CN"/>
        </w:rPr>
        <w:t>.</w:t>
      </w:r>
      <w:r>
        <w:rPr>
          <w:rFonts w:hint="eastAsia" w:ascii="宋体" w:hAnsi="宋体"/>
          <w:bCs/>
          <w:sz w:val="24"/>
          <w:szCs w:val="24"/>
        </w:rPr>
        <w:t>5 开标过程</w:t>
      </w:r>
      <w:r>
        <w:rPr>
          <w:rFonts w:hint="eastAsia" w:ascii="宋体" w:hAnsi="宋体" w:cs="仿宋_GB2312"/>
          <w:sz w:val="24"/>
          <w:szCs w:val="24"/>
          <w:lang w:val="zh-CN"/>
        </w:rPr>
        <w:t>由采购代理机构负</w:t>
      </w:r>
      <w:r>
        <w:rPr>
          <w:rFonts w:hint="eastAsia" w:ascii="宋体" w:hAnsi="宋体"/>
          <w:bCs/>
          <w:sz w:val="24"/>
          <w:szCs w:val="24"/>
        </w:rPr>
        <w:t>责记录，由参加开标的各供应商代表和相关工作人员签字确认后随采购文件一并存档。</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bCs/>
          <w:sz w:val="24"/>
          <w:szCs w:val="24"/>
        </w:rPr>
        <w:t xml:space="preserve">24.6 </w:t>
      </w:r>
      <w:r>
        <w:rPr>
          <w:rFonts w:hint="eastAsia" w:ascii="宋体" w:hAnsi="宋体" w:cs="仿宋_GB2312"/>
          <w:sz w:val="24"/>
          <w:szCs w:val="24"/>
          <w:lang w:val="zh-CN"/>
        </w:rPr>
        <w:t>供应商代表对开标过程和开标记录有疑义，以及认为采购人、采购代理机构相关工作人员有需要回避的情形的，应当场提出询问或者回避申请。采购人、采购代理机构对供应商代表提出的询问或者回避申请应当及时处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4</w:t>
      </w:r>
      <w:r>
        <w:rPr>
          <w:rFonts w:hint="eastAsia" w:ascii="宋体" w:hAnsi="宋体" w:cs="仿宋_GB2312"/>
          <w:sz w:val="24"/>
          <w:szCs w:val="24"/>
          <w:lang w:val="zh-CN"/>
        </w:rPr>
        <w:t>.7 供应商未参加开标的，视同认可开标结果。</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2</w:t>
      </w:r>
      <w:r>
        <w:rPr>
          <w:rFonts w:hint="eastAsia" w:ascii="宋体" w:hAnsi="宋体" w:cs="仿宋_GB2312"/>
          <w:b/>
          <w:sz w:val="24"/>
          <w:szCs w:val="24"/>
        </w:rPr>
        <w:t>5</w:t>
      </w:r>
      <w:r>
        <w:rPr>
          <w:rFonts w:hint="eastAsia" w:ascii="宋体" w:hAnsi="宋体" w:cs="仿宋_GB2312"/>
          <w:b/>
          <w:sz w:val="24"/>
          <w:szCs w:val="24"/>
          <w:lang w:val="zh-CN"/>
        </w:rPr>
        <w:t>. 资格审查</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bCs/>
          <w:sz w:val="24"/>
          <w:szCs w:val="24"/>
        </w:rPr>
        <w:t>开标结束后，采购人依法对供应商的资格进行审查。</w:t>
      </w:r>
      <w:r>
        <w:rPr>
          <w:rFonts w:hint="eastAsia" w:ascii="宋体" w:hAnsi="宋体" w:cs="仿宋_GB2312"/>
          <w:sz w:val="24"/>
          <w:szCs w:val="24"/>
          <w:lang w:val="zh-CN"/>
        </w:rPr>
        <w:t>合格供应商不足3家的，不得评标。</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2</w:t>
      </w:r>
      <w:r>
        <w:rPr>
          <w:rFonts w:hint="eastAsia" w:ascii="宋体" w:hAnsi="宋体" w:cs="仿宋_GB2312"/>
          <w:b/>
          <w:sz w:val="24"/>
          <w:szCs w:val="24"/>
        </w:rPr>
        <w:t>6</w:t>
      </w:r>
      <w:r>
        <w:rPr>
          <w:rFonts w:hint="eastAsia" w:ascii="宋体" w:hAnsi="宋体" w:cs="仿宋_GB2312"/>
          <w:b/>
          <w:sz w:val="24"/>
          <w:szCs w:val="24"/>
          <w:lang w:val="zh-CN"/>
        </w:rPr>
        <w:t>.评标委员会的组成</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6</w:t>
      </w:r>
      <w:r>
        <w:rPr>
          <w:rFonts w:hint="eastAsia" w:ascii="宋体" w:hAnsi="宋体" w:cs="仿宋_GB2312"/>
          <w:sz w:val="24"/>
          <w:szCs w:val="24"/>
          <w:lang w:val="zh-CN"/>
        </w:rPr>
        <w:t>．1 采购人将依法组建评标委员会，评标委员会由采购人代表和评审专家组成，成员人数应当为5人以上单数，其中评审专家的人数不少于评标委员会成员总数的三分之二。评审专家依法从采购评审专家库中随机抽取。</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26.1.1 采购项目符合下列情形之一的，评标委员会成员人数应当为7人以上单数：</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（一）采购预算金额在1000万元以上；</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（二）技术复杂；</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（三）社会影响较大。</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6</w:t>
      </w:r>
      <w:r>
        <w:rPr>
          <w:rFonts w:hint="eastAsia" w:ascii="宋体" w:hAnsi="宋体" w:cs="仿宋_GB2312"/>
          <w:sz w:val="24"/>
          <w:szCs w:val="24"/>
          <w:lang w:val="zh-CN"/>
        </w:rPr>
        <w:t>.2 评审专家对本单位的采购项目只能作为采购人代表参与评标。采购代理机构工作人员不得参加由本机构代理的采购项目的评标。</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6</w:t>
      </w:r>
      <w:r>
        <w:rPr>
          <w:rFonts w:hint="eastAsia" w:ascii="宋体" w:hAnsi="宋体" w:cs="仿宋_GB2312"/>
          <w:sz w:val="24"/>
          <w:szCs w:val="24"/>
          <w:lang w:val="zh-CN"/>
        </w:rPr>
        <w:t>.3 评审专家与供应商存在下列利害关系之一的,应当回避:</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(一)参加采购活动前三年内,与供应商存在劳动关系,或者担任过供应商的董事、监事,或者是供应商的控股股东或实际控制人；</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(二)与供应商的法定代表人或者负责人有夫妻、直系血亲、三代以内旁系血亲或者近姻亲关系；</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(三)与供应商有其他可能影响采购活动公平、公正进行的关系。</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6</w:t>
      </w:r>
      <w:r>
        <w:rPr>
          <w:rFonts w:hint="eastAsia" w:ascii="宋体" w:hAnsi="宋体" w:cs="仿宋_GB2312"/>
          <w:sz w:val="24"/>
          <w:szCs w:val="24"/>
          <w:lang w:val="zh-CN"/>
        </w:rPr>
        <w:t>.4 评审专家发现本人与参加采购活动的供应商有利害关系的,应当主动提出回避。采购人或者代理机构发现评审专家与参加采购活动的供应商有利害关系的,应当要求其回避。</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6</w:t>
      </w:r>
      <w:r>
        <w:rPr>
          <w:rFonts w:hint="eastAsia" w:ascii="宋体" w:hAnsi="宋体" w:cs="仿宋_GB2312"/>
          <w:sz w:val="24"/>
          <w:szCs w:val="24"/>
          <w:lang w:val="zh-CN"/>
        </w:rPr>
        <w:t>.5 采购人不得担任评标小组长。</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6</w:t>
      </w:r>
      <w:r>
        <w:rPr>
          <w:rFonts w:hint="eastAsia" w:ascii="宋体" w:hAnsi="宋体" w:cs="仿宋_GB2312"/>
          <w:sz w:val="24"/>
          <w:szCs w:val="24"/>
          <w:lang w:val="zh-CN"/>
        </w:rPr>
        <w:t>.6 采购人可以在评标前说明项目背景和采购需求，说明内容不得含有歧视性、倾向性意见，不得超出招标文件所述范围。说明应当提交书面材料，并随采购文件一并存档。</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26.7 评标委员会成员名单在评标结果公告前应当保密。</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2</w:t>
      </w:r>
      <w:r>
        <w:rPr>
          <w:rFonts w:hint="eastAsia" w:ascii="宋体" w:hAnsi="宋体" w:cs="仿宋_GB2312"/>
          <w:b/>
          <w:sz w:val="24"/>
          <w:szCs w:val="24"/>
        </w:rPr>
        <w:t>7</w:t>
      </w:r>
      <w:r>
        <w:rPr>
          <w:rFonts w:hint="eastAsia" w:ascii="宋体" w:hAnsi="宋体" w:cs="仿宋_GB2312"/>
          <w:b/>
          <w:sz w:val="24"/>
          <w:szCs w:val="24"/>
          <w:lang w:val="zh-CN"/>
        </w:rPr>
        <w:t>. 符合性审查</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7</w:t>
      </w:r>
      <w:r>
        <w:rPr>
          <w:rFonts w:hint="eastAsia" w:ascii="宋体" w:hAnsi="宋体" w:cs="仿宋_GB2312"/>
          <w:sz w:val="24"/>
          <w:szCs w:val="24"/>
          <w:lang w:val="zh-CN"/>
        </w:rPr>
        <w:t>.1 评标委员会依据有关法律法规和招标文件的规定，对符合资格的供应商的投标文件进行符合性审查，以确定其是否满足招标文件的实质性要求。</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7</w:t>
      </w:r>
      <w:r>
        <w:rPr>
          <w:rFonts w:hint="eastAsia" w:ascii="宋体" w:hAnsi="宋体" w:cs="仿宋_GB2312"/>
          <w:sz w:val="24"/>
          <w:szCs w:val="24"/>
          <w:lang w:val="zh-CN"/>
        </w:rPr>
        <w:t>.2 审查、评价投标文件是否符合招标文件的商务、技术等实质性要求。</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7</w:t>
      </w:r>
      <w:r>
        <w:rPr>
          <w:rFonts w:hint="eastAsia" w:ascii="宋体" w:hAnsi="宋体" w:cs="仿宋_GB2312"/>
          <w:sz w:val="24"/>
          <w:szCs w:val="24"/>
          <w:lang w:val="zh-CN"/>
        </w:rPr>
        <w:t>.3 可要求供应商对投标文件有关事项作出澄清或者说明。</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2</w:t>
      </w:r>
      <w:r>
        <w:rPr>
          <w:rFonts w:hint="eastAsia" w:ascii="宋体" w:hAnsi="宋体" w:cs="仿宋_GB2312"/>
          <w:b/>
          <w:sz w:val="24"/>
          <w:szCs w:val="24"/>
        </w:rPr>
        <w:t>8</w:t>
      </w:r>
      <w:r>
        <w:rPr>
          <w:rFonts w:hint="eastAsia" w:ascii="宋体" w:hAnsi="宋体" w:cs="仿宋_GB2312"/>
          <w:b/>
          <w:sz w:val="24"/>
          <w:szCs w:val="24"/>
          <w:lang w:val="zh-CN"/>
        </w:rPr>
        <w:t>. 投标文件的澄清</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8</w:t>
      </w:r>
      <w:r>
        <w:rPr>
          <w:rFonts w:hint="eastAsia" w:ascii="宋体" w:hAnsi="宋体" w:cs="仿宋_GB2312"/>
          <w:sz w:val="24"/>
          <w:szCs w:val="24"/>
          <w:lang w:val="zh-CN"/>
        </w:rPr>
        <w:t>.1 对于投标文件中含义不明确、同类问题表述不一致或者有明显文字和计算错误的内容，评标委员会应当以书面形式要求供应商作出必要的澄清、说明或者补正。</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8</w:t>
      </w:r>
      <w:r>
        <w:rPr>
          <w:rFonts w:hint="eastAsia" w:ascii="宋体" w:hAnsi="宋体" w:cs="仿宋_GB2312"/>
          <w:sz w:val="24"/>
          <w:szCs w:val="24"/>
          <w:lang w:val="zh-CN"/>
        </w:rPr>
        <w:t>.2 供应商的澄清、说明或者补正应当采用书面形式，并加盖公章，或者由法定代表人或其授权的代表签字。供应商的澄清、说明或者补正不得超出投标文件的范围或者改变投标文件的实质性内容。</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8</w:t>
      </w:r>
      <w:r>
        <w:rPr>
          <w:rFonts w:hint="eastAsia" w:ascii="宋体" w:hAnsi="宋体" w:cs="仿宋_GB2312"/>
          <w:sz w:val="24"/>
          <w:szCs w:val="24"/>
          <w:lang w:val="zh-CN"/>
        </w:rPr>
        <w:t>.3 供应商的澄清文件是其投标文件的组成部分。</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2</w:t>
      </w:r>
      <w:r>
        <w:rPr>
          <w:rFonts w:hint="eastAsia" w:ascii="宋体" w:hAnsi="宋体" w:cs="仿宋_GB2312"/>
          <w:b/>
          <w:sz w:val="24"/>
          <w:szCs w:val="24"/>
        </w:rPr>
        <w:t>9</w:t>
      </w:r>
      <w:r>
        <w:rPr>
          <w:rFonts w:hint="eastAsia" w:ascii="宋体" w:hAnsi="宋体" w:cs="仿宋_GB2312"/>
          <w:b/>
          <w:sz w:val="24"/>
          <w:szCs w:val="24"/>
          <w:lang w:val="zh-CN"/>
        </w:rPr>
        <w:t>. 投标文件报价出现前后不一致的修正</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9</w:t>
      </w:r>
      <w:r>
        <w:rPr>
          <w:rFonts w:hint="eastAsia" w:ascii="宋体" w:hAnsi="宋体" w:cs="仿宋_GB2312"/>
          <w:sz w:val="24"/>
          <w:szCs w:val="24"/>
          <w:lang w:val="zh-CN"/>
        </w:rPr>
        <w:t>.1 投标文件中开标一览表(报价表)内容与投标文件中相应内容不一致的，以开标一览表(报价表)为准；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9</w:t>
      </w:r>
      <w:r>
        <w:rPr>
          <w:rFonts w:hint="eastAsia" w:ascii="宋体" w:hAnsi="宋体" w:cs="仿宋_GB2312"/>
          <w:sz w:val="24"/>
          <w:szCs w:val="24"/>
          <w:lang w:val="zh-CN"/>
        </w:rPr>
        <w:t>.2 大写金额和小写金额不一致的，以大写金额为准；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9</w:t>
      </w:r>
      <w:r>
        <w:rPr>
          <w:rFonts w:hint="eastAsia" w:ascii="宋体" w:hAnsi="宋体" w:cs="仿宋_GB2312"/>
          <w:sz w:val="24"/>
          <w:szCs w:val="24"/>
          <w:lang w:val="zh-CN"/>
        </w:rPr>
        <w:t>.3 单价金额小数点或者百分比有明显错位的，以开标一览表的总价为准，并修改单价；</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rPr>
        <w:t>9</w:t>
      </w:r>
      <w:r>
        <w:rPr>
          <w:rFonts w:hint="eastAsia" w:ascii="宋体" w:hAnsi="宋体" w:cs="仿宋_GB2312"/>
          <w:sz w:val="24"/>
          <w:szCs w:val="24"/>
          <w:lang w:val="zh-CN"/>
        </w:rPr>
        <w:t>.4 总价金额与按单价汇总金额不一致的，以单价金额计算结果为准。同时出现两种以上不一致的，按照前款规定的顺序修正。修正后的报价按照“供应商须知”2</w:t>
      </w:r>
      <w:r>
        <w:rPr>
          <w:rFonts w:hint="eastAsia" w:ascii="宋体" w:hAnsi="宋体" w:cs="仿宋_GB2312"/>
          <w:sz w:val="24"/>
          <w:szCs w:val="24"/>
        </w:rPr>
        <w:t>8</w:t>
      </w:r>
      <w:r>
        <w:rPr>
          <w:rFonts w:hint="eastAsia" w:ascii="宋体" w:hAnsi="宋体" w:cs="仿宋_GB2312"/>
          <w:sz w:val="24"/>
          <w:szCs w:val="24"/>
          <w:lang w:val="zh-CN"/>
        </w:rPr>
        <w:t>.2规定经供应商确认后产生约束力，供应商不确认的，其投标无效。</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30.投标无效情形</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30.1 投标文件属下列情况之一的，按照无效投标处理：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30.1.1 未按照招标文件的规定提交投标保证金的；</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30.1.2 投标文件未按招标文件要求签署、盖章的；</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30.1.3 不具备招标文件中规定的资格要求的；</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30.1.4 报价超过招标文件中规定的预算金额或者最高限价的；</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 xml:space="preserve">30.1.5 </w:t>
      </w:r>
      <w:r>
        <w:rPr>
          <w:rFonts w:ascii="宋体" w:hAnsi="宋体" w:cs="仿宋_GB2312"/>
          <w:sz w:val="24"/>
          <w:szCs w:val="24"/>
          <w:lang w:val="zh-CN"/>
        </w:rPr>
        <w:t>投标文件含有采购人不能接受的附加条件的</w:t>
      </w:r>
      <w:r>
        <w:rPr>
          <w:rFonts w:hint="eastAsia" w:ascii="宋体" w:hAnsi="宋体" w:cs="仿宋_GB2312"/>
          <w:sz w:val="24"/>
          <w:szCs w:val="24"/>
          <w:lang w:val="zh-CN"/>
        </w:rPr>
        <w:t>。</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30.2 有下列情形之一的，视为供应商串通投标，其投标无效：</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30.2.1 不同供应商的投标文件由同一单位或者个人编制；</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30.2.2 不同供应商委托同一单位或者个人办理投标事宜；</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30.2.3 不同供应商的投标文件载明的项目管理成员或者联系人员为同一人；</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30.2.4 不同供应商的投标文件异常一致或者投标报价呈规律性差异；</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30.2.5 不同供应商的投标文件相互混装；</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30.2.6 不同供应商的投标保证金从同一单位或者个人的账户转出。</w:t>
      </w:r>
    </w:p>
    <w:p>
      <w:pPr>
        <w:pStyle w:val="8"/>
        <w:keepNext w:val="0"/>
        <w:keepLines w:val="0"/>
        <w:pageBreakBefore w:val="0"/>
        <w:kinsoku/>
        <w:wordWrap/>
        <w:overflowPunct/>
        <w:topLinePunct w:val="0"/>
        <w:bidi w:val="0"/>
        <w:snapToGrid/>
        <w:spacing w:line="360" w:lineRule="auto"/>
        <w:ind w:firstLine="480" w:firstLineChars="200"/>
        <w:textAlignment w:val="auto"/>
        <w:rPr>
          <w:rFonts w:ascii="宋体" w:hAnsi="宋体" w:cs="宋体"/>
          <w:szCs w:val="24"/>
        </w:rPr>
      </w:pPr>
      <w:r>
        <w:rPr>
          <w:rFonts w:hint="eastAsia" w:ascii="宋体" w:hAnsi="宋体" w:cs="仿宋_GB2312"/>
          <w:szCs w:val="24"/>
          <w:lang w:val="zh-CN"/>
        </w:rPr>
        <w:t>30.3</w:t>
      </w:r>
      <w:r>
        <w:rPr>
          <w:rFonts w:hint="eastAsia" w:ascii="宋体" w:hAnsi="宋体" w:cs="宋体"/>
          <w:szCs w:val="24"/>
        </w:rPr>
        <w:t>供应商有下列情形之一的，处以采购金额千分之五以上千分之十以下的罚款，列入不良行为记录名单，在一至三年内禁止参加采购活动，有违法所得的，并处没收违法所得，情节严重的，由工商行政管理机关吊销营业执照；构成犯罪的，依法追究刑事责任：</w:t>
      </w:r>
    </w:p>
    <w:p>
      <w:pPr>
        <w:pStyle w:val="8"/>
        <w:keepNext w:val="0"/>
        <w:keepLines w:val="0"/>
        <w:pageBreakBefore w:val="0"/>
        <w:kinsoku/>
        <w:wordWrap/>
        <w:overflowPunct/>
        <w:topLinePunct w:val="0"/>
        <w:bidi w:val="0"/>
        <w:snapToGrid/>
        <w:spacing w:line="360" w:lineRule="auto"/>
        <w:ind w:firstLine="480" w:firstLineChars="200"/>
        <w:textAlignment w:val="auto"/>
        <w:rPr>
          <w:rFonts w:ascii="宋体" w:hAnsi="宋体" w:cs="宋体"/>
          <w:szCs w:val="24"/>
        </w:rPr>
      </w:pPr>
      <w:r>
        <w:rPr>
          <w:rFonts w:hint="eastAsia" w:ascii="宋体" w:hAnsi="宋体" w:cs="宋体"/>
          <w:szCs w:val="24"/>
        </w:rPr>
        <w:t>（一）提供虚假材料谋取中标、成交的；</w:t>
      </w:r>
    </w:p>
    <w:p>
      <w:pPr>
        <w:pStyle w:val="8"/>
        <w:keepNext w:val="0"/>
        <w:keepLines w:val="0"/>
        <w:pageBreakBefore w:val="0"/>
        <w:kinsoku/>
        <w:wordWrap/>
        <w:overflowPunct/>
        <w:topLinePunct w:val="0"/>
        <w:bidi w:val="0"/>
        <w:snapToGrid/>
        <w:spacing w:line="360" w:lineRule="auto"/>
        <w:ind w:firstLine="480" w:firstLineChars="200"/>
        <w:textAlignment w:val="auto"/>
        <w:rPr>
          <w:rFonts w:ascii="宋体" w:hAnsi="宋体" w:cs="宋体"/>
          <w:szCs w:val="24"/>
        </w:rPr>
      </w:pPr>
      <w:r>
        <w:rPr>
          <w:rFonts w:hint="eastAsia" w:ascii="宋体" w:hAnsi="宋体" w:cs="宋体"/>
          <w:szCs w:val="24"/>
        </w:rPr>
        <w:t>（二）采取不正当手段诋毁、排挤其他供应商的；</w:t>
      </w:r>
    </w:p>
    <w:p>
      <w:pPr>
        <w:pStyle w:val="8"/>
        <w:keepNext w:val="0"/>
        <w:keepLines w:val="0"/>
        <w:pageBreakBefore w:val="0"/>
        <w:kinsoku/>
        <w:wordWrap/>
        <w:overflowPunct/>
        <w:topLinePunct w:val="0"/>
        <w:bidi w:val="0"/>
        <w:snapToGrid/>
        <w:spacing w:line="360" w:lineRule="auto"/>
        <w:ind w:firstLine="480" w:firstLineChars="200"/>
        <w:textAlignment w:val="auto"/>
        <w:rPr>
          <w:rFonts w:ascii="宋体" w:hAnsi="宋体" w:cs="宋体"/>
          <w:szCs w:val="24"/>
        </w:rPr>
      </w:pPr>
      <w:r>
        <w:rPr>
          <w:rFonts w:hint="eastAsia" w:ascii="宋体" w:hAnsi="宋体" w:cs="宋体"/>
          <w:szCs w:val="24"/>
        </w:rPr>
        <w:t>（三）与采购人、其他供应商或者采购代理机构恶意串通的；</w:t>
      </w:r>
    </w:p>
    <w:p>
      <w:pPr>
        <w:pStyle w:val="8"/>
        <w:keepNext w:val="0"/>
        <w:keepLines w:val="0"/>
        <w:pageBreakBefore w:val="0"/>
        <w:kinsoku/>
        <w:wordWrap/>
        <w:overflowPunct/>
        <w:topLinePunct w:val="0"/>
        <w:bidi w:val="0"/>
        <w:snapToGrid/>
        <w:spacing w:line="360" w:lineRule="auto"/>
        <w:ind w:firstLine="480" w:firstLineChars="200"/>
        <w:textAlignment w:val="auto"/>
        <w:rPr>
          <w:rFonts w:ascii="宋体" w:hAnsi="宋体" w:cs="宋体"/>
          <w:szCs w:val="24"/>
        </w:rPr>
      </w:pPr>
      <w:r>
        <w:rPr>
          <w:rFonts w:hint="eastAsia" w:ascii="宋体" w:hAnsi="宋体" w:cs="宋体"/>
          <w:szCs w:val="24"/>
        </w:rPr>
        <w:t>（四）向采购人、采购代理机构行贿或者提供其他不正当利益的；</w:t>
      </w:r>
    </w:p>
    <w:p>
      <w:pPr>
        <w:pStyle w:val="8"/>
        <w:keepNext w:val="0"/>
        <w:keepLines w:val="0"/>
        <w:pageBreakBefore w:val="0"/>
        <w:kinsoku/>
        <w:wordWrap/>
        <w:overflowPunct/>
        <w:topLinePunct w:val="0"/>
        <w:bidi w:val="0"/>
        <w:snapToGrid/>
        <w:spacing w:line="360" w:lineRule="auto"/>
        <w:ind w:firstLine="480" w:firstLineChars="200"/>
        <w:textAlignment w:val="auto"/>
        <w:rPr>
          <w:rFonts w:ascii="宋体" w:hAnsi="宋体" w:cs="宋体"/>
          <w:szCs w:val="24"/>
        </w:rPr>
      </w:pPr>
      <w:r>
        <w:rPr>
          <w:rFonts w:hint="eastAsia" w:ascii="宋体" w:hAnsi="宋体" w:cs="宋体"/>
          <w:szCs w:val="24"/>
        </w:rPr>
        <w:t>（五）在招标采购过程中与采购人进行协商的；</w:t>
      </w:r>
    </w:p>
    <w:p>
      <w:pPr>
        <w:pStyle w:val="8"/>
        <w:keepNext w:val="0"/>
        <w:keepLines w:val="0"/>
        <w:pageBreakBefore w:val="0"/>
        <w:kinsoku/>
        <w:wordWrap/>
        <w:overflowPunct/>
        <w:topLinePunct w:val="0"/>
        <w:bidi w:val="0"/>
        <w:snapToGrid/>
        <w:spacing w:line="360" w:lineRule="auto"/>
        <w:ind w:firstLine="480" w:firstLineChars="200"/>
        <w:textAlignment w:val="auto"/>
        <w:rPr>
          <w:rFonts w:ascii="宋体" w:hAnsi="宋体" w:cs="宋体"/>
          <w:szCs w:val="24"/>
        </w:rPr>
      </w:pPr>
      <w:r>
        <w:rPr>
          <w:rFonts w:hint="eastAsia" w:ascii="宋体" w:hAnsi="宋体" w:cs="宋体"/>
          <w:szCs w:val="24"/>
        </w:rPr>
        <w:t>（六）拒绝有关部门监督检查或者提供虚假情况的。</w:t>
      </w:r>
    </w:p>
    <w:p>
      <w:pPr>
        <w:pStyle w:val="8"/>
        <w:keepNext w:val="0"/>
        <w:keepLines w:val="0"/>
        <w:pageBreakBefore w:val="0"/>
        <w:kinsoku/>
        <w:wordWrap/>
        <w:overflowPunct/>
        <w:topLinePunct w:val="0"/>
        <w:bidi w:val="0"/>
        <w:snapToGrid/>
        <w:spacing w:line="360" w:lineRule="auto"/>
        <w:ind w:firstLine="480" w:firstLineChars="200"/>
        <w:textAlignment w:val="auto"/>
        <w:rPr>
          <w:rFonts w:ascii="宋体" w:hAnsi="宋体" w:cs="宋体"/>
          <w:kern w:val="0"/>
          <w:szCs w:val="24"/>
        </w:rPr>
      </w:pPr>
      <w:r>
        <w:rPr>
          <w:rFonts w:hint="eastAsia" w:ascii="宋体" w:hAnsi="宋体" w:cs="宋体"/>
          <w:szCs w:val="24"/>
        </w:rPr>
        <w:t>供应商有前款第（一）至（五）项情形之一的，中标、成交无效。</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30.4 供应商应当遵循公平竞争的原则，不得恶意串通，不得妨碍其他供应商的竞争行为，不得损害采购人或者其他供应商的合法权益。在评标过程中发现供应商有上述情形的，评标委员会应当认定其投标无效，并书面报告本级财政部门。</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30.5 评标委员会认为供应商的报价明显低于其他通过符合性审查供应商的报价，有可能影响产品质量或者不能诚信履约的，应当要求其在评标现场合理的时间内提供书面说明，必要时提交相关证明材料；供应商不能证明其报价合理性的，评标委员会应当将其作为无效投标处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 xml:space="preserve">30.6 </w:t>
      </w:r>
      <w:r>
        <w:rPr>
          <w:rFonts w:ascii="宋体" w:hAnsi="宋体" w:cs="仿宋_GB2312"/>
          <w:sz w:val="24"/>
          <w:szCs w:val="24"/>
          <w:lang w:val="zh-CN"/>
        </w:rPr>
        <w:t>法律、法规和招标文件规定的其他无效情形。</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b/>
          <w:bCs/>
          <w:sz w:val="24"/>
          <w:szCs w:val="24"/>
          <w:lang w:val="zh-CN"/>
        </w:rPr>
      </w:pPr>
      <w:r>
        <w:rPr>
          <w:rFonts w:hint="eastAsia" w:ascii="宋体" w:hAnsi="宋体" w:cs="仿宋_GB2312"/>
          <w:sz w:val="24"/>
          <w:szCs w:val="24"/>
          <w:lang w:val="zh-CN"/>
        </w:rPr>
        <w:t>31.</w:t>
      </w:r>
      <w:r>
        <w:rPr>
          <w:rFonts w:hint="eastAsia" w:ascii="宋体" w:hAnsi="宋体"/>
          <w:b/>
          <w:bCs/>
          <w:sz w:val="24"/>
          <w:szCs w:val="24"/>
          <w:lang w:val="zh-CN"/>
        </w:rPr>
        <w:t xml:space="preserve"> 相同品牌供应商的认定</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31.1 采用最低评标价法的采购项目，提供相同品牌产品的不同供应商参加同一合同项下投标的，以其中通过资格审查、符合性审查且报价最低的参加评标；报价相同的，由采购人或者采购人委托评标委员会按照招标文件规定的方式确定一个参加评标的供应商，招标文件未规定的采取随机抽取方式确定，其他投标无效。</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31.2 使用综合评分法的采购项目，提供相同品牌产品且通过资格审查、符合性审查的不同供应商参加同一合同项下投标的，按一家供应商计算，评审后得分最高的同品牌供应商获得中标人推荐资格;评审得分相同的，由采购人或者采购人委托评标委员会按照招标文件规定的方式确定一个供应商获得中标人推荐资格，招标文件未规定的采取随机抽取方式确定，其他同品牌供应商不作为中标候选人。</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rPr>
        <w:t>32</w:t>
      </w:r>
      <w:r>
        <w:rPr>
          <w:rFonts w:hint="eastAsia" w:ascii="宋体" w:hAnsi="宋体" w:cs="仿宋_GB2312"/>
          <w:b/>
          <w:sz w:val="24"/>
          <w:szCs w:val="24"/>
          <w:lang w:val="zh-CN"/>
        </w:rPr>
        <w:t>. 投标文件的比较与评价</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评标委员会按照招标文件中规定的评标方法和标准，对符合性审查合格的投标文件进行商务和技术评估，综合比较与评价。</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33.评标方法、评标标准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3</w:t>
      </w:r>
      <w:r>
        <w:rPr>
          <w:rFonts w:hint="eastAsia" w:ascii="宋体" w:hAnsi="宋体" w:cs="仿宋_GB2312"/>
          <w:sz w:val="24"/>
          <w:szCs w:val="24"/>
          <w:lang w:val="zh-CN"/>
        </w:rPr>
        <w:t>.1 评标方法分为最低评标价法和综合评分法。</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3</w:t>
      </w:r>
      <w:r>
        <w:rPr>
          <w:rFonts w:hint="eastAsia" w:ascii="宋体" w:hAnsi="宋体" w:cs="仿宋_GB2312"/>
          <w:sz w:val="24"/>
          <w:szCs w:val="24"/>
          <w:lang w:val="zh-CN"/>
        </w:rPr>
        <w:t>.1.1 最低评标价法</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rPr>
        <w:t>33</w:t>
      </w:r>
      <w:r>
        <w:rPr>
          <w:rFonts w:hint="eastAsia" w:ascii="宋体" w:hAnsi="宋体" w:cs="仿宋_GB2312"/>
          <w:sz w:val="24"/>
          <w:szCs w:val="24"/>
          <w:lang w:val="zh-CN"/>
        </w:rPr>
        <w:t>.1.1.1 最低评标价法，是指投标文件满足招标文件全部实质性要求，且投标报价最低的供应商为中标候选人的评标方法。</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3</w:t>
      </w:r>
      <w:r>
        <w:rPr>
          <w:rFonts w:hint="eastAsia" w:ascii="宋体" w:hAnsi="宋体" w:cs="仿宋_GB2312"/>
          <w:sz w:val="24"/>
          <w:szCs w:val="24"/>
          <w:lang w:val="zh-CN"/>
        </w:rPr>
        <w:t>.1.1.2 采用最低评标价法评标时，除了算术修正和落实采购政策需进行的价格扣除外，不能对供应商的投标价格进行任何调整。</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3</w:t>
      </w:r>
      <w:r>
        <w:rPr>
          <w:rFonts w:hint="eastAsia" w:ascii="宋体" w:hAnsi="宋体" w:cs="仿宋_GB2312"/>
          <w:sz w:val="24"/>
          <w:szCs w:val="24"/>
          <w:lang w:val="zh-CN"/>
        </w:rPr>
        <w:t>.1.2 综合评分法，是指投标文件满足招标文件全部实质性要求，且按照评审因素的量化指标评审得分最高的供应商为中标候选人的评标方法。</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3</w:t>
      </w:r>
      <w:r>
        <w:rPr>
          <w:rFonts w:hint="eastAsia" w:ascii="宋体" w:hAnsi="宋体" w:cs="仿宋_GB2312"/>
          <w:sz w:val="24"/>
          <w:szCs w:val="24"/>
          <w:lang w:val="zh-CN"/>
        </w:rPr>
        <w:t>.2 价格分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3</w:t>
      </w:r>
      <w:r>
        <w:rPr>
          <w:rFonts w:hint="eastAsia" w:ascii="宋体" w:hAnsi="宋体" w:cs="仿宋_GB2312"/>
          <w:sz w:val="24"/>
          <w:szCs w:val="24"/>
          <w:lang w:val="zh-CN"/>
        </w:rPr>
        <w:t>.2.1 价格分采用低价优先法计算，即满足招标文件要求且投标价格最低的投标报价为评标基准价，其价格分为满分。其他供应商的价格分统一按照下列公式计算：</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投标报价得分=(评标基准价/投标报价)×100</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评标总得分=F1×A1+F2×A2+……+Fn×An</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F1、F2……Fn分别为各项评审因素的得分;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A1、A2、……An 分别为各项评审因素所占的权重(A1+A2+……+An=1)。</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3</w:t>
      </w:r>
      <w:r>
        <w:rPr>
          <w:rFonts w:hint="eastAsia" w:ascii="宋体" w:hAnsi="宋体" w:cs="仿宋_GB2312"/>
          <w:sz w:val="24"/>
          <w:szCs w:val="24"/>
          <w:lang w:val="zh-CN"/>
        </w:rPr>
        <w:t>.2.2 评标过程中，不得去掉报价中的最高报价和最低报价。</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b/>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3</w:t>
      </w:r>
      <w:r>
        <w:rPr>
          <w:rFonts w:hint="eastAsia" w:ascii="宋体" w:hAnsi="宋体" w:cs="仿宋_GB2312"/>
          <w:sz w:val="24"/>
          <w:szCs w:val="24"/>
          <w:lang w:val="zh-CN"/>
        </w:rPr>
        <w:t>.3</w:t>
      </w:r>
      <w:r>
        <w:rPr>
          <w:rFonts w:hint="eastAsia" w:ascii="宋体" w:hAnsi="宋体" w:cs="仿宋_GB2312"/>
          <w:b/>
          <w:sz w:val="24"/>
          <w:szCs w:val="24"/>
          <w:lang w:val="zh-CN"/>
        </w:rPr>
        <w:t xml:space="preserve"> 本次评标具体评标方法、评标标准见（第六章 资格审查与</w:t>
      </w:r>
      <w:r>
        <w:rPr>
          <w:rFonts w:hint="eastAsia" w:ascii="宋体" w:hAnsi="宋体" w:cs="宋体"/>
          <w:b/>
          <w:kern w:val="0"/>
          <w:sz w:val="24"/>
          <w:szCs w:val="24"/>
        </w:rPr>
        <w:t>评标</w:t>
      </w:r>
      <w:r>
        <w:rPr>
          <w:rFonts w:hint="eastAsia" w:ascii="宋体" w:hAnsi="宋体" w:cs="仿宋_GB2312"/>
          <w:b/>
          <w:sz w:val="24"/>
          <w:szCs w:val="24"/>
          <w:lang w:val="zh-CN"/>
        </w:rPr>
        <w:t>）。</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sz w:val="24"/>
          <w:szCs w:val="24"/>
          <w:lang w:val="zh-CN"/>
        </w:rPr>
      </w:pPr>
      <w:r>
        <w:rPr>
          <w:rFonts w:hint="eastAsia" w:ascii="宋体" w:hAnsi="宋体"/>
          <w:b/>
          <w:bCs/>
          <w:sz w:val="24"/>
          <w:szCs w:val="24"/>
          <w:lang w:val="zh-CN"/>
        </w:rPr>
        <w:t>3</w:t>
      </w:r>
      <w:r>
        <w:rPr>
          <w:rFonts w:hint="eastAsia" w:ascii="宋体" w:hAnsi="宋体"/>
          <w:b/>
          <w:bCs/>
          <w:sz w:val="24"/>
          <w:szCs w:val="24"/>
        </w:rPr>
        <w:t>4</w:t>
      </w:r>
      <w:r>
        <w:rPr>
          <w:rFonts w:hint="eastAsia" w:ascii="宋体" w:hAnsi="宋体"/>
          <w:b/>
          <w:bCs/>
          <w:sz w:val="24"/>
          <w:szCs w:val="24"/>
          <w:lang w:val="zh-CN"/>
        </w:rPr>
        <w:t>. 推荐中标候选人</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4</w:t>
      </w:r>
      <w:r>
        <w:rPr>
          <w:rFonts w:hint="eastAsia" w:ascii="宋体" w:hAnsi="宋体" w:cs="仿宋_GB2312"/>
          <w:sz w:val="24"/>
          <w:szCs w:val="24"/>
          <w:lang w:val="zh-CN"/>
        </w:rPr>
        <w:t>.1 采用最低评标价法的，评标结果按投标报价由低到高顺序排列。投标报价相同的并列。投标文件满足招标文件全部实质性要求且投标报价最低的供应商为排名第一的中标候选人。</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4</w:t>
      </w:r>
      <w:r>
        <w:rPr>
          <w:rFonts w:hint="eastAsia" w:ascii="宋体" w:hAnsi="宋体" w:cs="仿宋_GB2312"/>
          <w:sz w:val="24"/>
          <w:szCs w:val="24"/>
          <w:lang w:val="zh-CN"/>
        </w:rPr>
        <w:t>.2 采用综合评分法的，评标结果按评审后得分由高到低顺序排列。得分相同的，按投标报价由低到高顺序排列。得分且投标报价相同的并列。投标文件满足招标文件全部实质性要求，且按照评审因素的量化指标评审得分从高到低供应商为排名推荐入库候选人。</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3</w:t>
      </w:r>
      <w:r>
        <w:rPr>
          <w:rFonts w:hint="eastAsia" w:ascii="宋体" w:hAnsi="宋体" w:cs="仿宋_GB2312"/>
          <w:b/>
          <w:sz w:val="24"/>
          <w:szCs w:val="24"/>
        </w:rPr>
        <w:t>5</w:t>
      </w:r>
      <w:r>
        <w:rPr>
          <w:rFonts w:hint="eastAsia" w:ascii="宋体" w:hAnsi="宋体" w:cs="仿宋_GB2312"/>
          <w:b/>
          <w:sz w:val="24"/>
          <w:szCs w:val="24"/>
          <w:lang w:val="zh-CN"/>
        </w:rPr>
        <w:t>.评审意见无效情形</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评标委员会及其成员有下列行为之一的，其评审意见无效：</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5</w:t>
      </w:r>
      <w:r>
        <w:rPr>
          <w:rFonts w:hint="eastAsia" w:ascii="宋体" w:hAnsi="宋体" w:cs="仿宋_GB2312"/>
          <w:sz w:val="24"/>
          <w:szCs w:val="24"/>
          <w:lang w:val="zh-CN"/>
        </w:rPr>
        <w:t>.1 确定参与评标至评标结束前私自接触供应商；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5</w:t>
      </w:r>
      <w:r>
        <w:rPr>
          <w:rFonts w:hint="eastAsia" w:ascii="宋体" w:hAnsi="宋体" w:cs="仿宋_GB2312"/>
          <w:sz w:val="24"/>
          <w:szCs w:val="24"/>
          <w:lang w:val="zh-CN"/>
        </w:rPr>
        <w:t>.2 接受供应商提出的与投标文件不一致的澄清或者说明，《供应商须知》2</w:t>
      </w:r>
      <w:r>
        <w:rPr>
          <w:rFonts w:hint="eastAsia" w:ascii="宋体" w:hAnsi="宋体" w:cs="仿宋_GB2312"/>
          <w:sz w:val="24"/>
          <w:szCs w:val="24"/>
        </w:rPr>
        <w:t>6</w:t>
      </w:r>
      <w:r>
        <w:rPr>
          <w:rFonts w:hint="eastAsia" w:ascii="宋体" w:hAnsi="宋体" w:cs="仿宋_GB2312"/>
          <w:sz w:val="24"/>
          <w:szCs w:val="24"/>
          <w:lang w:val="zh-CN"/>
        </w:rPr>
        <w:t>条规定的情形除外；</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5</w:t>
      </w:r>
      <w:r>
        <w:rPr>
          <w:rFonts w:hint="eastAsia" w:ascii="宋体" w:hAnsi="宋体" w:cs="仿宋_GB2312"/>
          <w:sz w:val="24"/>
          <w:szCs w:val="24"/>
          <w:lang w:val="zh-CN"/>
        </w:rPr>
        <w:t>.3 违反评标纪律发表倾向性意见或者征询采购人的倾向性意见；</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5</w:t>
      </w:r>
      <w:r>
        <w:rPr>
          <w:rFonts w:hint="eastAsia" w:ascii="宋体" w:hAnsi="宋体" w:cs="仿宋_GB2312"/>
          <w:sz w:val="24"/>
          <w:szCs w:val="24"/>
          <w:lang w:val="zh-CN"/>
        </w:rPr>
        <w:t>.4 对需要专业判断的主观评审因素协商评分；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35.5 在评标过程中擅离职守，影响评标程序正常进行的；</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5</w:t>
      </w:r>
      <w:r>
        <w:rPr>
          <w:rFonts w:hint="eastAsia" w:ascii="宋体" w:hAnsi="宋体" w:cs="仿宋_GB2312"/>
          <w:sz w:val="24"/>
          <w:szCs w:val="24"/>
          <w:lang w:val="zh-CN"/>
        </w:rPr>
        <w:t>.6 记录、复制或者带走任何评标资料；</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5</w:t>
      </w:r>
      <w:r>
        <w:rPr>
          <w:rFonts w:hint="eastAsia" w:ascii="宋体" w:hAnsi="宋体" w:cs="仿宋_GB2312"/>
          <w:sz w:val="24"/>
          <w:szCs w:val="24"/>
          <w:lang w:val="zh-CN"/>
        </w:rPr>
        <w:t>.7 其他不遵守评标纪律的行为。</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3</w:t>
      </w:r>
      <w:r>
        <w:rPr>
          <w:rFonts w:hint="eastAsia" w:ascii="宋体" w:hAnsi="宋体" w:cs="仿宋_GB2312"/>
          <w:b/>
          <w:sz w:val="24"/>
          <w:szCs w:val="24"/>
        </w:rPr>
        <w:t>6</w:t>
      </w:r>
      <w:r>
        <w:rPr>
          <w:rFonts w:hint="eastAsia" w:ascii="宋体" w:hAnsi="宋体" w:cs="仿宋_GB2312"/>
          <w:b/>
          <w:sz w:val="24"/>
          <w:szCs w:val="24"/>
          <w:lang w:val="zh-CN"/>
        </w:rPr>
        <w:t>. 保密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6</w:t>
      </w:r>
      <w:r>
        <w:rPr>
          <w:rFonts w:hint="eastAsia" w:ascii="宋体" w:hAnsi="宋体" w:cs="仿宋_GB2312"/>
          <w:sz w:val="24"/>
          <w:szCs w:val="24"/>
          <w:lang w:val="zh-CN"/>
        </w:rPr>
        <w:t>.1 评审专家应当遵守评审工作纪律，不得泄露评审文件、评审情况和评审中获悉的商业秘密。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6</w:t>
      </w:r>
      <w:r>
        <w:rPr>
          <w:rFonts w:hint="eastAsia" w:ascii="宋体" w:hAnsi="宋体" w:cs="仿宋_GB2312"/>
          <w:sz w:val="24"/>
          <w:szCs w:val="24"/>
          <w:lang w:val="zh-CN"/>
        </w:rPr>
        <w:t>.2 采购人、采购代理机构应当采取必要措施，保证评标在严格保密的情况下进行。有关人员对评标情况以及在评标过程中获悉的国家秘密、商业秘密负有保密责任。</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p>
    <w:p>
      <w:pPr>
        <w:keepNext w:val="0"/>
        <w:keepLines w:val="0"/>
        <w:pageBreakBefore w:val="0"/>
        <w:tabs>
          <w:tab w:val="left" w:pos="1260"/>
        </w:tabs>
        <w:kinsoku/>
        <w:wordWrap/>
        <w:overflowPunct/>
        <w:topLinePunct w:val="0"/>
        <w:autoSpaceDE w:val="0"/>
        <w:autoSpaceDN w:val="0"/>
        <w:bidi w:val="0"/>
        <w:snapToGrid/>
        <w:spacing w:line="360" w:lineRule="auto"/>
        <w:ind w:firstLine="562" w:firstLineChars="200"/>
        <w:contextualSpacing/>
        <w:jc w:val="center"/>
        <w:textAlignment w:val="auto"/>
        <w:rPr>
          <w:rFonts w:ascii="宋体" w:hAnsi="宋体" w:cs="宋体"/>
          <w:b/>
          <w:kern w:val="0"/>
          <w:sz w:val="28"/>
          <w:szCs w:val="28"/>
        </w:rPr>
      </w:pPr>
      <w:r>
        <w:rPr>
          <w:rFonts w:hint="eastAsia" w:ascii="宋体" w:hAnsi="宋体" w:cs="宋体"/>
          <w:b/>
          <w:kern w:val="0"/>
          <w:sz w:val="28"/>
          <w:szCs w:val="28"/>
        </w:rPr>
        <w:t>六、定标和授予合同</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3</w:t>
      </w:r>
      <w:r>
        <w:rPr>
          <w:rFonts w:hint="eastAsia" w:ascii="宋体" w:hAnsi="宋体" w:cs="仿宋_GB2312"/>
          <w:b/>
          <w:sz w:val="24"/>
          <w:szCs w:val="24"/>
        </w:rPr>
        <w:t>7</w:t>
      </w:r>
      <w:r>
        <w:rPr>
          <w:rFonts w:hint="eastAsia" w:ascii="宋体" w:hAnsi="宋体" w:cs="仿宋_GB2312"/>
          <w:b/>
          <w:sz w:val="24"/>
          <w:szCs w:val="24"/>
          <w:lang w:val="zh-CN"/>
        </w:rPr>
        <w:t>. 确定中标人</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7</w:t>
      </w:r>
      <w:r>
        <w:rPr>
          <w:rFonts w:hint="eastAsia" w:ascii="宋体" w:hAnsi="宋体" w:cs="仿宋_GB2312"/>
          <w:sz w:val="24"/>
          <w:szCs w:val="24"/>
          <w:lang w:val="zh-CN"/>
        </w:rPr>
        <w:t>.1 采购人应当自收到评标报告之日起</w:t>
      </w:r>
      <w:r>
        <w:rPr>
          <w:rFonts w:hint="eastAsia" w:ascii="宋体" w:hAnsi="宋体" w:cs="仿宋_GB2312"/>
          <w:sz w:val="24"/>
          <w:szCs w:val="24"/>
        </w:rPr>
        <w:t>5</w:t>
      </w:r>
      <w:r>
        <w:rPr>
          <w:rFonts w:hint="eastAsia" w:ascii="宋体" w:hAnsi="宋体" w:cs="仿宋_GB2312"/>
          <w:sz w:val="24"/>
          <w:szCs w:val="24"/>
          <w:lang w:val="zh-CN"/>
        </w:rPr>
        <w:t>个工作日内，在评标报告确定的中标候选人名单中按顺序确定中标人。中标候选人并列的，由采购人采取随机抽取的方式确定。</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7</w:t>
      </w:r>
      <w:r>
        <w:rPr>
          <w:rFonts w:hint="eastAsia" w:ascii="宋体" w:hAnsi="宋体" w:cs="仿宋_GB2312"/>
          <w:sz w:val="24"/>
          <w:szCs w:val="24"/>
          <w:lang w:val="zh-CN"/>
        </w:rPr>
        <w:t>.2 采购人在收到评标报告5个工作日内未按评标报告推荐的中标候选人顺序确定入库供应商，又不能说明合法理由的，视同按评标报告推荐的顺序确定从高到低排名确定两名中标人。</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3</w:t>
      </w:r>
      <w:r>
        <w:rPr>
          <w:rFonts w:hint="eastAsia" w:ascii="宋体" w:hAnsi="宋体" w:cs="仿宋_GB2312"/>
          <w:b/>
          <w:sz w:val="24"/>
          <w:szCs w:val="24"/>
        </w:rPr>
        <w:t>8</w:t>
      </w:r>
      <w:r>
        <w:rPr>
          <w:rFonts w:hint="eastAsia" w:ascii="宋体" w:hAnsi="宋体" w:cs="仿宋_GB2312"/>
          <w:b/>
          <w:sz w:val="24"/>
          <w:szCs w:val="24"/>
          <w:lang w:val="zh-CN"/>
        </w:rPr>
        <w:t>. 中标公告、发出中标通知书</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8</w:t>
      </w:r>
      <w:r>
        <w:rPr>
          <w:rFonts w:hint="eastAsia" w:ascii="宋体" w:hAnsi="宋体" w:cs="仿宋_GB2312"/>
          <w:sz w:val="24"/>
          <w:szCs w:val="24"/>
          <w:lang w:val="zh-CN"/>
        </w:rPr>
        <w:t>.1 采购人确认中标人后，采购人在公告中标结果的同时，向中标人发出中标通知书。</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rPr>
        <w:t>8</w:t>
      </w:r>
      <w:r>
        <w:rPr>
          <w:rFonts w:hint="eastAsia" w:ascii="宋体" w:hAnsi="宋体" w:cs="仿宋_GB2312"/>
          <w:sz w:val="24"/>
          <w:szCs w:val="24"/>
          <w:lang w:val="zh-CN"/>
        </w:rPr>
        <w:t>.2 中标通知书发出后，采购人不得违法改变中标结果，中标人无正当理由不得放弃中标。</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宋体"/>
          <w:bCs/>
          <w:sz w:val="24"/>
          <w:szCs w:val="24"/>
          <w:lang w:val="zh-CN"/>
        </w:rPr>
      </w:pPr>
      <w:r>
        <w:rPr>
          <w:rFonts w:hint="eastAsia" w:ascii="宋体" w:hAnsi="宋体" w:cs="仿宋_GB2312"/>
          <w:sz w:val="24"/>
          <w:szCs w:val="24"/>
        </w:rPr>
        <w:t xml:space="preserve">38.3 </w:t>
      </w:r>
      <w:r>
        <w:rPr>
          <w:rFonts w:hint="eastAsia" w:ascii="宋体" w:hAnsi="宋体" w:cs="宋体"/>
          <w:bCs/>
          <w:sz w:val="24"/>
          <w:szCs w:val="24"/>
          <w:lang w:val="zh-CN"/>
        </w:rPr>
        <w:t>中标人在接到中标通知时，须向代理机构发送投标报价及分项报价一览表（包含主要中标标的的名称、规格型号、数量、单价、服务要求等）电子文档，并同时通知代理机构联系人。</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rPr>
        <w:t>39.</w:t>
      </w:r>
      <w:r>
        <w:rPr>
          <w:rFonts w:hint="eastAsia" w:ascii="宋体" w:hAnsi="宋体" w:cs="仿宋_GB2312"/>
          <w:b/>
          <w:sz w:val="24"/>
          <w:szCs w:val="24"/>
          <w:lang w:val="zh-CN"/>
        </w:rPr>
        <w:t>质疑提出与答复</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rPr>
        <w:t>39.1 供应商认为采购文件、采购过程和中标结果使自己的权益受到损害的，可以按照</w:t>
      </w:r>
      <w:r>
        <w:rPr>
          <w:rFonts w:hint="eastAsia" w:ascii="宋体" w:cs="宋体"/>
          <w:bCs/>
          <w:kern w:val="0"/>
          <w:sz w:val="24"/>
          <w:lang w:val="zh-CN"/>
        </w:rPr>
        <w:t>财政部94号令</w:t>
      </w:r>
      <w:r>
        <w:rPr>
          <w:rFonts w:hint="eastAsia" w:ascii="宋体" w:hAnsi="宋体" w:cs="宋体"/>
          <w:bCs/>
          <w:sz w:val="24"/>
          <w:szCs w:val="24"/>
          <w:lang w:val="zh-CN"/>
        </w:rPr>
        <w:t>提出质</w:t>
      </w:r>
      <w:r>
        <w:rPr>
          <w:rFonts w:hint="eastAsia" w:ascii="宋体" w:hAnsi="宋体" w:cs="仿宋_GB2312"/>
          <w:sz w:val="24"/>
          <w:szCs w:val="24"/>
        </w:rPr>
        <w:t>疑。</w:t>
      </w:r>
      <w:r>
        <w:rPr>
          <w:rFonts w:ascii="宋体" w:hAnsi="宋体" w:cs="仿宋_GB2312"/>
          <w:sz w:val="24"/>
          <w:szCs w:val="24"/>
        </w:rPr>
        <w:t>提出质疑的供应商应当是参与</w:t>
      </w:r>
      <w:r>
        <w:rPr>
          <w:rFonts w:hint="eastAsia" w:ascii="宋体" w:hAnsi="宋体" w:cs="仿宋_GB2312"/>
          <w:sz w:val="24"/>
          <w:szCs w:val="24"/>
        </w:rPr>
        <w:t>本</w:t>
      </w:r>
      <w:r>
        <w:rPr>
          <w:rFonts w:ascii="宋体" w:hAnsi="宋体" w:cs="仿宋_GB2312"/>
          <w:sz w:val="24"/>
          <w:szCs w:val="24"/>
        </w:rPr>
        <w:t>项目采购活动的供应商。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rPr>
        <w:t>39.1.1 对采购文件提出质疑的，</w:t>
      </w:r>
      <w:r>
        <w:rPr>
          <w:rFonts w:ascii="宋体" w:hAnsi="宋体" w:cs="仿宋_GB2312"/>
          <w:sz w:val="24"/>
          <w:szCs w:val="24"/>
        </w:rPr>
        <w:t>潜在</w:t>
      </w:r>
      <w:r>
        <w:rPr>
          <w:rFonts w:hint="eastAsia" w:ascii="宋体" w:hAnsi="宋体" w:cs="仿宋_GB2312"/>
          <w:sz w:val="24"/>
          <w:szCs w:val="24"/>
        </w:rPr>
        <w:t>供应商应</w:t>
      </w:r>
      <w:r>
        <w:rPr>
          <w:rFonts w:ascii="宋体" w:hAnsi="宋体" w:cs="仿宋_GB2312"/>
          <w:sz w:val="24"/>
          <w:szCs w:val="24"/>
        </w:rPr>
        <w:t>已依法获取采购文件</w:t>
      </w:r>
      <w:r>
        <w:rPr>
          <w:rFonts w:hint="eastAsia" w:ascii="宋体" w:hAnsi="宋体" w:cs="仿宋_GB2312"/>
          <w:sz w:val="24"/>
          <w:szCs w:val="24"/>
        </w:rPr>
        <w:t>，且应当在</w:t>
      </w:r>
      <w:r>
        <w:rPr>
          <w:rFonts w:ascii="宋体" w:hAnsi="宋体" w:cs="仿宋_GB2312"/>
          <w:sz w:val="24"/>
          <w:szCs w:val="24"/>
        </w:rPr>
        <w:t>获取采购文件或者采购文件公告期限届满之日起7个工作日内</w:t>
      </w:r>
      <w:r>
        <w:rPr>
          <w:rFonts w:hint="eastAsia" w:ascii="宋体" w:hAnsi="宋体" w:cs="仿宋_GB2312"/>
          <w:sz w:val="24"/>
          <w:szCs w:val="24"/>
        </w:rPr>
        <w:t>通过代理机构项目联系人邮箱一次性提出，提出后代理机构项目联系人查收，同时将纸质质疑函一式两份送至采购单位，如未提出视为全面接受；</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rPr>
        <w:t>39.1.2 对采购过程提出质疑的，为各采购程序环节结束之日起七个工作日内，以书面形式向采购人和采购代理机构一次性提出；</w:t>
      </w:r>
      <w:r>
        <w:rPr>
          <w:rFonts w:hint="eastAsia" w:ascii="宋体" w:hAnsi="宋体" w:cs="仿宋_GB2312"/>
          <w:sz w:val="24"/>
          <w:szCs w:val="24"/>
        </w:rPr>
        <w:br w:type="textWrapping"/>
      </w:r>
      <w:r>
        <w:rPr>
          <w:rFonts w:hint="eastAsia" w:ascii="宋体" w:hAnsi="宋体" w:cs="仿宋_GB2312"/>
          <w:sz w:val="24"/>
          <w:szCs w:val="24"/>
        </w:rPr>
        <w:t>39.1.3 对中标结果提出质疑的，为中标结果公告期限届满之日起七个工作日内，以书面形式向采购人和采购代理机构一次性提出。</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rPr>
        <w:t xml:space="preserve">39.2 </w:t>
      </w:r>
      <w:r>
        <w:rPr>
          <w:rFonts w:ascii="宋体" w:hAnsi="宋体" w:cs="仿宋_GB2312"/>
          <w:sz w:val="24"/>
          <w:szCs w:val="24"/>
        </w:rPr>
        <w:t>采购人、采购代理机构认为供应商质疑不成立，或者成立但未对中标结果构成影响的，继续开展采购活动；认为供应商质疑成立且影响或者可能影响中标结果的，按照下列情况处理：</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rPr>
        <w:t xml:space="preserve">39.2.1 </w:t>
      </w:r>
      <w:r>
        <w:rPr>
          <w:rFonts w:ascii="宋体" w:hAnsi="宋体" w:cs="仿宋_GB2312"/>
          <w:sz w:val="24"/>
          <w:szCs w:val="24"/>
        </w:rPr>
        <w:t>对采购文件提出的质疑，依法通过澄清或者修改可以继续开展采购活动的，澄清或者修改采购文件后继续开展采购活动；否则应当修改采购文件后重新开展采购活动。</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rPr>
        <w:t xml:space="preserve">39.2.2 </w:t>
      </w:r>
      <w:r>
        <w:rPr>
          <w:rFonts w:ascii="宋体" w:hAnsi="宋体" w:cs="仿宋_GB2312"/>
          <w:sz w:val="24"/>
          <w:szCs w:val="24"/>
        </w:rPr>
        <w:t>对采购过程、中标结果提出的质疑，合格供应商符合法定数量时，可以从合格的中标</w:t>
      </w:r>
      <w:r>
        <w:rPr>
          <w:rFonts w:hint="eastAsia" w:ascii="宋体" w:hAnsi="宋体" w:cs="仿宋_GB2312"/>
          <w:sz w:val="24"/>
          <w:szCs w:val="24"/>
        </w:rPr>
        <w:t>候选人</w:t>
      </w:r>
      <w:r>
        <w:rPr>
          <w:rFonts w:ascii="宋体" w:hAnsi="宋体" w:cs="仿宋_GB2312"/>
          <w:sz w:val="24"/>
          <w:szCs w:val="24"/>
        </w:rPr>
        <w:t>中另行确定中标供应商的，应当依法另行确定中标供应商；否则应当重新开展采购活动。</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rPr>
        <w:t>39.3 答复</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rPr>
      </w:pPr>
      <w:r>
        <w:rPr>
          <w:rFonts w:hint="eastAsia" w:ascii="宋体" w:hAnsi="宋体" w:cs="仿宋_GB2312"/>
          <w:sz w:val="24"/>
          <w:szCs w:val="24"/>
        </w:rPr>
        <w:t>39.3.1 对中标结果提出质疑的，质疑供应商和其他有关供应商在法定时限内联系采购单位领取书面质疑回复函。</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rPr>
      </w:pPr>
      <w:r>
        <w:rPr>
          <w:rFonts w:hint="eastAsia" w:ascii="宋体" w:hAnsi="宋体" w:cs="仿宋_GB2312"/>
          <w:b/>
          <w:sz w:val="24"/>
          <w:szCs w:val="24"/>
        </w:rPr>
        <w:t>40.</w:t>
      </w:r>
      <w:r>
        <w:rPr>
          <w:rFonts w:hint="eastAsia" w:ascii="宋体" w:hAnsi="宋体" w:cs="仿宋_GB2312"/>
          <w:b/>
          <w:sz w:val="24"/>
          <w:szCs w:val="24"/>
          <w:lang w:val="zh-CN"/>
        </w:rPr>
        <w:t>签订合同</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sz w:val="24"/>
          <w:szCs w:val="24"/>
          <w:lang w:val="zh-CN"/>
        </w:rPr>
      </w:pPr>
      <w:r>
        <w:rPr>
          <w:rFonts w:hint="eastAsia" w:ascii="宋体" w:hAnsi="宋体" w:cs="仿宋_GB2312"/>
          <w:sz w:val="24"/>
          <w:szCs w:val="24"/>
          <w:lang w:val="zh-CN"/>
        </w:rPr>
        <w:t>采购人应当自中标通知书发出之日起30日内，按照招标文件和中标人投标文件的规定，与中标人签订书面合同。所签订的合同不得对招标文件确定的事项和中标人投标文件作实质性修改。</w:t>
      </w:r>
    </w:p>
    <w:p>
      <w:pPr>
        <w:keepNext w:val="0"/>
        <w:keepLines w:val="0"/>
        <w:pageBreakBefore w:val="0"/>
        <w:tabs>
          <w:tab w:val="left" w:pos="1260"/>
        </w:tabs>
        <w:kinsoku/>
        <w:wordWrap/>
        <w:overflowPunct/>
        <w:topLinePunct w:val="0"/>
        <w:autoSpaceDE w:val="0"/>
        <w:autoSpaceDN w:val="0"/>
        <w:bidi w:val="0"/>
        <w:snapToGrid/>
        <w:spacing w:line="360" w:lineRule="auto"/>
        <w:ind w:firstLine="482" w:firstLineChars="200"/>
        <w:contextualSpacing/>
        <w:textAlignment w:val="auto"/>
        <w:rPr>
          <w:rFonts w:ascii="宋体" w:hAnsi="宋体" w:cs="仿宋_GB2312"/>
          <w:b/>
          <w:sz w:val="24"/>
          <w:szCs w:val="24"/>
        </w:rPr>
      </w:pPr>
      <w:r>
        <w:rPr>
          <w:rFonts w:hint="eastAsia" w:ascii="宋体" w:hAnsi="宋体" w:cs="仿宋_GB2312"/>
          <w:b/>
          <w:sz w:val="24"/>
          <w:szCs w:val="24"/>
        </w:rPr>
        <w:t>41.履约保证金</w:t>
      </w:r>
    </w:p>
    <w:p>
      <w:pPr>
        <w:keepNext w:val="0"/>
        <w:keepLines w:val="0"/>
        <w:pageBreakBefore w:val="0"/>
        <w:kinsoku/>
        <w:wordWrap/>
        <w:overflowPunct/>
        <w:topLinePunct w:val="0"/>
        <w:autoSpaceDE w:val="0"/>
        <w:autoSpaceDN w:val="0"/>
        <w:bidi w:val="0"/>
        <w:snapToGrid/>
        <w:spacing w:line="360" w:lineRule="auto"/>
        <w:ind w:firstLine="480" w:firstLineChars="200"/>
        <w:contextualSpacing/>
        <w:textAlignment w:val="auto"/>
        <w:rPr>
          <w:rFonts w:ascii="宋体" w:hAnsi="宋体" w:cs="仿宋_GB2312"/>
          <w:b/>
          <w:sz w:val="24"/>
          <w:szCs w:val="24"/>
        </w:rPr>
      </w:pPr>
      <w:r>
        <w:rPr>
          <w:rFonts w:hint="eastAsia" w:ascii="宋体" w:hAnsi="宋体" w:cs="宋体"/>
          <w:kern w:val="0"/>
          <w:sz w:val="24"/>
          <w:szCs w:val="24"/>
        </w:rPr>
        <w:t>“供应商须知前附表”中规定</w:t>
      </w:r>
      <w:r>
        <w:rPr>
          <w:rFonts w:hint="eastAsia" w:ascii="宋体" w:hAnsi="宋体" w:cs="宋体"/>
          <w:sz w:val="24"/>
          <w:szCs w:val="24"/>
        </w:rPr>
        <w:t>中标人提交履约保证金的，中标人应当以支票、汇票、本票或者金融机构、担保机构出具的保函等非现金形式向采购人提交。履约保证金的数额不得超过采购合同金额的10%。</w:t>
      </w:r>
      <w:r>
        <w:rPr>
          <w:rFonts w:hint="eastAsia" w:ascii="宋体" w:hAnsi="宋体" w:cs="宋体"/>
          <w:sz w:val="24"/>
          <w:szCs w:val="24"/>
        </w:rPr>
        <w:br w:type="textWrapping"/>
      </w:r>
      <w:r>
        <w:rPr>
          <w:rFonts w:hint="eastAsia" w:ascii="宋体" w:hAnsi="宋体" w:cs="仿宋_GB2312"/>
          <w:b/>
          <w:sz w:val="24"/>
          <w:szCs w:val="24"/>
        </w:rPr>
        <w:t>42. 其他</w:t>
      </w:r>
    </w:p>
    <w:p>
      <w:pPr>
        <w:keepNext w:val="0"/>
        <w:keepLines w:val="0"/>
        <w:pageBreakBefore w:val="0"/>
        <w:tabs>
          <w:tab w:val="left" w:pos="1260"/>
        </w:tabs>
        <w:kinsoku/>
        <w:wordWrap/>
        <w:overflowPunct/>
        <w:topLinePunct w:val="0"/>
        <w:autoSpaceDE w:val="0"/>
        <w:autoSpaceDN w:val="0"/>
        <w:bidi w:val="0"/>
        <w:snapToGrid/>
        <w:spacing w:line="360" w:lineRule="auto"/>
        <w:ind w:firstLine="480" w:firstLineChars="200"/>
        <w:contextualSpacing/>
        <w:jc w:val="left"/>
        <w:textAlignment w:val="auto"/>
        <w:rPr>
          <w:rFonts w:ascii="宋体" w:hAnsi="宋体" w:cs="宋体"/>
          <w:kern w:val="0"/>
          <w:sz w:val="24"/>
          <w:szCs w:val="24"/>
        </w:rPr>
      </w:pPr>
      <w:r>
        <w:rPr>
          <w:rFonts w:hint="eastAsia" w:ascii="宋体" w:hAnsi="宋体" w:cs="宋体"/>
          <w:kern w:val="0"/>
          <w:sz w:val="24"/>
          <w:szCs w:val="24"/>
        </w:rPr>
        <w:t>本次招标文件未尽事项，以法律法规规定的为准。</w:t>
      </w:r>
    </w:p>
    <w:p>
      <w:pPr>
        <w:keepNext w:val="0"/>
        <w:keepLines w:val="0"/>
        <w:pageBreakBefore w:val="0"/>
        <w:widowControl/>
        <w:kinsoku/>
        <w:wordWrap/>
        <w:overflowPunct/>
        <w:topLinePunct w:val="0"/>
        <w:bidi w:val="0"/>
        <w:snapToGrid/>
        <w:spacing w:line="360" w:lineRule="auto"/>
        <w:ind w:firstLine="562" w:firstLineChars="200"/>
        <w:jc w:val="left"/>
        <w:textAlignment w:val="auto"/>
        <w:rPr>
          <w:rFonts w:ascii="宋体" w:hAnsi="宋体" w:cs="宋体"/>
          <w:b/>
          <w:kern w:val="0"/>
          <w:sz w:val="28"/>
          <w:szCs w:val="28"/>
        </w:rPr>
      </w:pPr>
    </w:p>
    <w:p>
      <w:pPr>
        <w:tabs>
          <w:tab w:val="left" w:pos="1260"/>
        </w:tabs>
        <w:autoSpaceDE w:val="0"/>
        <w:autoSpaceDN w:val="0"/>
        <w:adjustRightInd w:val="0"/>
        <w:spacing w:line="360" w:lineRule="auto"/>
        <w:contextualSpacing/>
        <w:jc w:val="center"/>
        <w:rPr>
          <w:rFonts w:ascii="宋体" w:hAnsi="宋体" w:eastAsia="宋体" w:cs="宋体"/>
          <w:b/>
          <w:kern w:val="0"/>
          <w:sz w:val="36"/>
          <w:szCs w:val="36"/>
        </w:rPr>
      </w:pPr>
      <w:r>
        <w:rPr>
          <w:rFonts w:ascii="宋体" w:hAnsi="宋体" w:cs="宋体"/>
          <w:b/>
          <w:kern w:val="0"/>
          <w:sz w:val="28"/>
          <w:szCs w:val="28"/>
        </w:rPr>
        <w:br w:type="page"/>
      </w:r>
      <w:r>
        <w:rPr>
          <w:rFonts w:hint="eastAsia" w:ascii="宋体" w:hAnsi="宋体" w:eastAsia="宋体" w:cs="宋体"/>
          <w:b/>
          <w:kern w:val="0"/>
          <w:sz w:val="36"/>
          <w:szCs w:val="36"/>
        </w:rPr>
        <w:t>第五章 资格审查与评标</w:t>
      </w:r>
    </w:p>
    <w:p>
      <w:pPr>
        <w:pStyle w:val="8"/>
        <w:spacing w:line="360" w:lineRule="auto"/>
        <w:contextualSpacing/>
        <w:jc w:val="center"/>
        <w:rPr>
          <w:rFonts w:ascii="宋体" w:hAnsi="宋体" w:eastAsia="宋体" w:cs="仿宋_GB2312"/>
          <w:b/>
          <w:sz w:val="32"/>
          <w:szCs w:val="32"/>
          <w:lang w:val="zh-CN"/>
        </w:rPr>
      </w:pPr>
      <w:r>
        <w:rPr>
          <w:rFonts w:ascii="宋体" w:hAnsi="宋体" w:eastAsia="宋体" w:cs="仿宋_GB2312"/>
          <w:b/>
          <w:sz w:val="32"/>
          <w:szCs w:val="32"/>
          <w:lang w:val="zh-CN"/>
        </w:rPr>
        <w:t>一、资格审查</w:t>
      </w:r>
    </w:p>
    <w:p>
      <w:pPr>
        <w:pStyle w:val="8"/>
        <w:spacing w:line="276" w:lineRule="auto"/>
        <w:ind w:firstLine="480" w:firstLineChars="200"/>
        <w:contextualSpacing/>
        <w:rPr>
          <w:rFonts w:ascii="宋体" w:hAnsi="宋体" w:eastAsia="宋体" w:cs="仿宋_GB2312"/>
          <w:szCs w:val="24"/>
          <w:lang w:val="zh-CN"/>
        </w:rPr>
      </w:pPr>
      <w:r>
        <w:rPr>
          <w:rFonts w:hint="eastAsia" w:ascii="宋体" w:hAnsi="宋体" w:eastAsia="宋体" w:cs="仿宋_GB2312"/>
          <w:szCs w:val="24"/>
          <w:lang w:val="zh-CN"/>
        </w:rPr>
        <w:t>（一）</w:t>
      </w:r>
      <w:r>
        <w:rPr>
          <w:rFonts w:ascii="宋体" w:hAnsi="宋体" w:eastAsia="宋体" w:cs="仿宋_GB2312"/>
          <w:szCs w:val="24"/>
          <w:lang w:val="zh-CN"/>
        </w:rPr>
        <w:t>开标结束后，</w:t>
      </w:r>
      <w:r>
        <w:rPr>
          <w:rFonts w:hint="eastAsia" w:ascii="宋体" w:hAnsi="宋体" w:eastAsia="宋体" w:cs="仿宋_GB2312"/>
          <w:szCs w:val="24"/>
          <w:lang w:val="zh-CN"/>
        </w:rPr>
        <w:t>采购人（或采购代理机构）依法对供应商资格进行审查</w:t>
      </w:r>
      <w:r>
        <w:rPr>
          <w:rFonts w:ascii="宋体" w:hAnsi="宋体" w:eastAsia="宋体" w:cs="仿宋_GB2312"/>
          <w:szCs w:val="24"/>
          <w:lang w:val="zh-CN"/>
        </w:rPr>
        <w:t>。</w:t>
      </w:r>
    </w:p>
    <w:p>
      <w:pPr>
        <w:spacing w:line="276" w:lineRule="auto"/>
        <w:ind w:right="420" w:rightChars="200" w:firstLine="480" w:firstLineChars="200"/>
        <w:contextualSpacing/>
        <w:rPr>
          <w:rFonts w:ascii="宋体" w:hAnsi="宋体" w:cs="仿宋_GB2312"/>
          <w:sz w:val="24"/>
          <w:szCs w:val="24"/>
          <w:lang w:val="zh-CN"/>
        </w:rPr>
      </w:pPr>
      <w:r>
        <w:rPr>
          <w:rFonts w:hint="eastAsia" w:ascii="宋体" w:hAnsi="宋体" w:cs="仿宋_GB2312"/>
          <w:sz w:val="24"/>
          <w:szCs w:val="24"/>
          <w:lang w:val="zh-CN"/>
        </w:rPr>
        <w:t>（二）资格证明材料（本栏所列内容为本项目的资格审查条件，如有一项不符合要求，则不能进入下一步评审）。</w:t>
      </w:r>
    </w:p>
    <w:p>
      <w:pPr>
        <w:spacing w:line="276" w:lineRule="auto"/>
        <w:ind w:right="420" w:rightChars="200" w:firstLine="480" w:firstLineChars="200"/>
        <w:contextualSpacing/>
        <w:rPr>
          <w:rFonts w:ascii="宋体" w:hAnsi="宋体" w:cs="仿宋_GB2312"/>
          <w:sz w:val="24"/>
          <w:szCs w:val="24"/>
          <w:lang w:val="zh-CN"/>
        </w:rPr>
      </w:pPr>
      <w:r>
        <w:rPr>
          <w:rFonts w:hint="eastAsia" w:ascii="宋体" w:hAnsi="宋体" w:cs="仿宋_GB2312"/>
          <w:sz w:val="24"/>
          <w:szCs w:val="24"/>
          <w:lang w:val="zh-CN"/>
        </w:rPr>
        <w:t>（三）资格审查中所涉及到的证书及材料，如标识为原件的均须在开标现场提供原件，无标识原件的以投标文件中加盖公章的复印件为准。</w:t>
      </w:r>
    </w:p>
    <w:tbl>
      <w:tblPr>
        <w:tblStyle w:val="18"/>
        <w:tblW w:w="90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79" w:type="dxa"/>
            <w:vAlign w:val="center"/>
          </w:tcPr>
          <w:p>
            <w:pPr>
              <w:spacing w:line="360" w:lineRule="auto"/>
              <w:jc w:val="center"/>
              <w:rPr>
                <w:rFonts w:ascii="宋体" w:hAnsi="宋体"/>
                <w:b/>
                <w:sz w:val="24"/>
                <w:szCs w:val="24"/>
              </w:rPr>
            </w:pPr>
            <w:r>
              <w:rPr>
                <w:rFonts w:hint="eastAsia" w:ascii="宋体" w:hAnsi="宋体"/>
                <w:b/>
                <w:sz w:val="24"/>
                <w:szCs w:val="24"/>
              </w:rPr>
              <w:t>资格审查</w:t>
            </w:r>
            <w:r>
              <w:rPr>
                <w:rFonts w:ascii="宋体" w:hAnsi="宋体"/>
                <w:b/>
                <w:sz w:val="24"/>
                <w:szCs w:val="24"/>
              </w:rPr>
              <w:t>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79" w:type="dxa"/>
            <w:vAlign w:val="center"/>
          </w:tcPr>
          <w:p>
            <w:pPr>
              <w:spacing w:line="360" w:lineRule="auto"/>
              <w:jc w:val="left"/>
              <w:rPr>
                <w:rFonts w:ascii="宋体" w:hAnsi="宋体"/>
                <w:b/>
                <w:sz w:val="24"/>
                <w:szCs w:val="24"/>
              </w:rPr>
            </w:pPr>
            <w:r>
              <w:rPr>
                <w:rFonts w:hint="eastAsia" w:ascii="宋体" w:hAnsi="宋体"/>
                <w:b/>
                <w:sz w:val="24"/>
                <w:szCs w:val="24"/>
              </w:rPr>
              <w:t>1、投标函原件（投标文件中）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9" w:type="dxa"/>
            <w:vAlign w:val="center"/>
          </w:tcPr>
          <w:p>
            <w:pPr>
              <w:spacing w:line="360" w:lineRule="auto"/>
              <w:rPr>
                <w:rFonts w:ascii="宋体" w:hAnsi="宋体"/>
                <w:bCs/>
                <w:sz w:val="24"/>
                <w:szCs w:val="24"/>
              </w:rPr>
            </w:pPr>
            <w:r>
              <w:rPr>
                <w:rFonts w:hint="eastAsia" w:ascii="宋体" w:hAnsi="宋体"/>
                <w:b/>
                <w:bCs/>
                <w:sz w:val="24"/>
                <w:szCs w:val="24"/>
              </w:rPr>
              <w:t>2、法人或者其他组织的营业执照等证明文件，自然人的身份证明</w:t>
            </w:r>
          </w:p>
          <w:p>
            <w:pPr>
              <w:autoSpaceDE w:val="0"/>
              <w:autoSpaceDN w:val="0"/>
              <w:adjustRightInd w:val="0"/>
              <w:spacing w:line="360" w:lineRule="auto"/>
              <w:ind w:right="-11"/>
              <w:rPr>
                <w:rFonts w:ascii="宋体" w:hAnsi="宋体" w:cs="宋体"/>
                <w:bCs/>
                <w:sz w:val="24"/>
                <w:szCs w:val="24"/>
                <w:lang w:val="zh-CN"/>
              </w:rPr>
            </w:pPr>
            <w:r>
              <w:rPr>
                <w:rFonts w:hint="eastAsia" w:ascii="宋体" w:hAnsi="宋体" w:cs="宋体"/>
                <w:bCs/>
                <w:sz w:val="24"/>
                <w:szCs w:val="24"/>
                <w:lang w:val="zh-CN"/>
              </w:rPr>
              <w:t>1、企业法人营业执照或营业执照。（企业投标提供）</w:t>
            </w:r>
          </w:p>
          <w:p>
            <w:pPr>
              <w:autoSpaceDE w:val="0"/>
              <w:autoSpaceDN w:val="0"/>
              <w:adjustRightInd w:val="0"/>
              <w:spacing w:line="360" w:lineRule="auto"/>
              <w:ind w:right="-11"/>
              <w:rPr>
                <w:rFonts w:ascii="宋体" w:hAnsi="宋体" w:cs="宋体"/>
                <w:bCs/>
                <w:sz w:val="24"/>
                <w:szCs w:val="24"/>
                <w:lang w:val="zh-CN"/>
              </w:rPr>
            </w:pPr>
            <w:r>
              <w:rPr>
                <w:rFonts w:hint="eastAsia" w:ascii="宋体" w:hAnsi="宋体" w:cs="宋体"/>
                <w:bCs/>
                <w:sz w:val="24"/>
                <w:szCs w:val="24"/>
                <w:lang w:val="zh-CN"/>
              </w:rPr>
              <w:t>2、事业单位法人证书。（事业单位投标提供）</w:t>
            </w:r>
          </w:p>
          <w:p>
            <w:pPr>
              <w:autoSpaceDE w:val="0"/>
              <w:autoSpaceDN w:val="0"/>
              <w:adjustRightInd w:val="0"/>
              <w:spacing w:line="360" w:lineRule="auto"/>
              <w:ind w:right="-11"/>
              <w:rPr>
                <w:rFonts w:ascii="宋体" w:hAnsi="宋体" w:cs="宋体"/>
                <w:bCs/>
                <w:sz w:val="24"/>
                <w:szCs w:val="24"/>
                <w:lang w:val="zh-CN"/>
              </w:rPr>
            </w:pPr>
            <w:r>
              <w:rPr>
                <w:rFonts w:hint="eastAsia" w:ascii="宋体" w:hAnsi="宋体" w:cs="宋体"/>
                <w:bCs/>
                <w:sz w:val="24"/>
                <w:szCs w:val="24"/>
                <w:lang w:val="zh-CN"/>
              </w:rPr>
              <w:t>3、执业许可证。（非专业服务机构投标提供）</w:t>
            </w:r>
          </w:p>
          <w:p>
            <w:pPr>
              <w:autoSpaceDE w:val="0"/>
              <w:autoSpaceDN w:val="0"/>
              <w:adjustRightInd w:val="0"/>
              <w:spacing w:line="360" w:lineRule="auto"/>
              <w:ind w:right="-11"/>
              <w:rPr>
                <w:rFonts w:ascii="宋体" w:hAnsi="宋体" w:cs="宋体"/>
                <w:bCs/>
                <w:sz w:val="24"/>
                <w:szCs w:val="24"/>
                <w:lang w:val="zh-CN"/>
              </w:rPr>
            </w:pPr>
            <w:r>
              <w:rPr>
                <w:rFonts w:hint="eastAsia" w:ascii="宋体" w:hAnsi="宋体" w:cs="宋体"/>
                <w:bCs/>
                <w:sz w:val="24"/>
                <w:szCs w:val="24"/>
                <w:lang w:val="zh-CN"/>
              </w:rPr>
              <w:t>4、个体工商户营业执照。（个体工商户投标提供）</w:t>
            </w:r>
          </w:p>
          <w:p>
            <w:pPr>
              <w:autoSpaceDE w:val="0"/>
              <w:autoSpaceDN w:val="0"/>
              <w:adjustRightInd w:val="0"/>
              <w:spacing w:line="360" w:lineRule="auto"/>
              <w:jc w:val="left"/>
              <w:rPr>
                <w:rFonts w:ascii="宋体" w:hAnsi="宋体" w:cs="仿宋_GB2312"/>
                <w:sz w:val="24"/>
                <w:szCs w:val="24"/>
              </w:rPr>
            </w:pPr>
            <w:r>
              <w:rPr>
                <w:rFonts w:hint="eastAsia" w:ascii="宋体" w:hAnsi="宋体" w:cs="宋体"/>
                <w:bCs/>
                <w:sz w:val="24"/>
                <w:szCs w:val="24"/>
                <w:lang w:val="zh-CN"/>
              </w:rPr>
              <w:t>5、自然人身份证明。（自然人投标提供）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79" w:type="dxa"/>
            <w:vAlign w:val="center"/>
          </w:tcPr>
          <w:p>
            <w:pPr>
              <w:spacing w:line="360" w:lineRule="auto"/>
              <w:rPr>
                <w:rFonts w:ascii="宋体" w:hAnsi="宋体" w:cs="宋体"/>
                <w:b/>
                <w:kern w:val="0"/>
                <w:sz w:val="24"/>
                <w:szCs w:val="24"/>
                <w:lang w:val="zh-CN"/>
              </w:rPr>
            </w:pPr>
            <w:r>
              <w:rPr>
                <w:rFonts w:hint="eastAsia" w:ascii="宋体" w:hAnsi="宋体"/>
                <w:b/>
                <w:bCs/>
                <w:sz w:val="24"/>
                <w:szCs w:val="24"/>
              </w:rPr>
              <w:t>3、</w:t>
            </w:r>
            <w:r>
              <w:rPr>
                <w:rFonts w:hint="eastAsia" w:ascii="宋体" w:hAnsi="宋体" w:cs="宋体"/>
                <w:b/>
                <w:kern w:val="0"/>
                <w:sz w:val="24"/>
                <w:szCs w:val="24"/>
                <w:lang w:val="zh-CN"/>
              </w:rPr>
              <w:t>未被列入“信用中国”网站</w:t>
            </w:r>
            <w:r>
              <w:rPr>
                <w:rFonts w:ascii="宋体" w:hAnsi="宋体" w:cs="宋体"/>
                <w:b/>
                <w:kern w:val="0"/>
                <w:sz w:val="24"/>
                <w:szCs w:val="24"/>
                <w:lang w:val="zh-CN"/>
              </w:rPr>
              <w:t>(www.creditchina.gov.cn)</w:t>
            </w:r>
            <w:r>
              <w:rPr>
                <w:rFonts w:hint="eastAsia" w:ascii="宋体" w:hAnsi="宋体" w:cs="宋体"/>
                <w:b/>
                <w:kern w:val="0"/>
                <w:sz w:val="24"/>
                <w:szCs w:val="24"/>
                <w:lang w:val="zh-CN"/>
              </w:rPr>
              <w:t>失信被执行人、重大税收违法案件当事人名单、政府采购严重违法失信名单的供应商；“国家企业信用公示系统”网站（</w:t>
            </w:r>
            <w:r>
              <w:rPr>
                <w:rFonts w:ascii="宋体" w:hAnsi="宋体" w:cs="宋体"/>
                <w:b/>
                <w:kern w:val="0"/>
                <w:sz w:val="24"/>
                <w:szCs w:val="24"/>
                <w:lang w:val="zh-CN"/>
              </w:rPr>
              <w:t>www.gsxt.gov.cn</w:t>
            </w:r>
            <w:r>
              <w:rPr>
                <w:rFonts w:hint="eastAsia" w:ascii="宋体" w:hAnsi="宋体" w:cs="宋体"/>
                <w:b/>
                <w:kern w:val="0"/>
                <w:sz w:val="24"/>
                <w:szCs w:val="24"/>
                <w:lang w:val="zh-CN"/>
              </w:rPr>
              <w:t>）严重违法失信企业名单（黑名单）的供应商。</w:t>
            </w:r>
          </w:p>
          <w:p>
            <w:pPr>
              <w:spacing w:line="360" w:lineRule="auto"/>
              <w:rPr>
                <w:rFonts w:ascii="宋体" w:hAnsi="宋体"/>
                <w:bCs/>
                <w:sz w:val="24"/>
                <w:szCs w:val="24"/>
              </w:rPr>
            </w:pPr>
            <w:r>
              <w:rPr>
                <w:rFonts w:hint="eastAsia" w:ascii="宋体" w:hAnsi="宋体"/>
                <w:bCs/>
                <w:sz w:val="24"/>
                <w:szCs w:val="24"/>
              </w:rPr>
              <w:t>注：政府采购活动中查询及使用供应商信用记录的具体要求为：供应商未被列入失信被执行人、重大税收违法案件当事人名单、</w:t>
            </w:r>
            <w:r>
              <w:rPr>
                <w:rFonts w:ascii="宋体" w:hAnsi="宋体"/>
                <w:bCs/>
                <w:sz w:val="24"/>
                <w:szCs w:val="24"/>
              </w:rPr>
              <w:t>政府采购严重违法失信名单</w:t>
            </w:r>
            <w:r>
              <w:rPr>
                <w:rFonts w:hint="eastAsia" w:ascii="宋体" w:hAnsi="宋体"/>
                <w:bCs/>
                <w:sz w:val="24"/>
                <w:szCs w:val="24"/>
              </w:rPr>
              <w:t>、</w:t>
            </w:r>
            <w:r>
              <w:rPr>
                <w:rFonts w:hint="eastAsia" w:ascii="宋体" w:hAnsi="宋体" w:cs="仿宋_GB2312"/>
                <w:b/>
                <w:sz w:val="24"/>
                <w:szCs w:val="24"/>
                <w:shd w:val="clear" w:color="auto" w:fill="FFFFFF"/>
              </w:rPr>
              <w:t>严重违法失信企业名单（黑名单）</w:t>
            </w:r>
            <w:r>
              <w:rPr>
                <w:rFonts w:hint="eastAsia" w:ascii="宋体" w:hAnsi="宋体"/>
                <w:bCs/>
                <w:sz w:val="24"/>
                <w:szCs w:val="24"/>
              </w:rPr>
              <w:t>（联合体形式投标的，联合体成员存在不良信用记录，视同联合体存在不良信用记录）。</w:t>
            </w:r>
          </w:p>
          <w:p>
            <w:pPr>
              <w:spacing w:line="360" w:lineRule="auto"/>
              <w:rPr>
                <w:rFonts w:ascii="宋体" w:hAnsi="宋体"/>
                <w:bCs/>
                <w:sz w:val="24"/>
                <w:szCs w:val="24"/>
              </w:rPr>
            </w:pPr>
            <w:r>
              <w:rPr>
                <w:rFonts w:hint="eastAsia" w:ascii="宋体" w:hAnsi="宋体"/>
                <w:bCs/>
                <w:sz w:val="24"/>
                <w:szCs w:val="24"/>
              </w:rPr>
              <w:t>（1）查询渠道：“信用中国”网站（www.creditchina.gov.cn）和“中国政府采购网”（www.ccgp.gov.cn）；</w:t>
            </w:r>
            <w:r>
              <w:rPr>
                <w:rFonts w:hint="eastAsia" w:ascii="宋体" w:hAnsi="宋体" w:cs="宋体"/>
                <w:kern w:val="0"/>
                <w:sz w:val="24"/>
                <w:szCs w:val="24"/>
              </w:rPr>
              <w:t>“</w:t>
            </w:r>
            <w:r>
              <w:rPr>
                <w:rFonts w:hint="eastAsia" w:ascii="宋体" w:hAnsi="宋体" w:cs="宋体"/>
                <w:kern w:val="0"/>
                <w:sz w:val="24"/>
                <w:szCs w:val="24"/>
                <w:lang w:val="zh-CN"/>
              </w:rPr>
              <w:t>国家企业信用公示系统</w:t>
            </w:r>
            <w:r>
              <w:rPr>
                <w:rFonts w:hint="eastAsia" w:ascii="宋体" w:hAnsi="宋体" w:cs="宋体"/>
                <w:kern w:val="0"/>
                <w:sz w:val="24"/>
                <w:szCs w:val="24"/>
              </w:rPr>
              <w:t>”</w:t>
            </w:r>
            <w:r>
              <w:rPr>
                <w:rFonts w:hint="eastAsia" w:ascii="宋体" w:hAnsi="宋体" w:cs="宋体"/>
                <w:kern w:val="0"/>
                <w:sz w:val="24"/>
                <w:szCs w:val="24"/>
                <w:lang w:val="zh-CN"/>
              </w:rPr>
              <w:t>网站</w:t>
            </w:r>
            <w:r>
              <w:rPr>
                <w:rFonts w:hint="eastAsia" w:ascii="宋体" w:hAnsi="宋体" w:cs="宋体"/>
                <w:kern w:val="0"/>
                <w:sz w:val="24"/>
                <w:szCs w:val="24"/>
              </w:rPr>
              <w:t>（</w:t>
            </w:r>
            <w:r>
              <w:rPr>
                <w:rFonts w:ascii="宋体" w:hAnsi="宋体" w:cs="宋体"/>
                <w:kern w:val="0"/>
                <w:sz w:val="24"/>
                <w:szCs w:val="24"/>
              </w:rPr>
              <w:t>www.gsxt.gov.cn</w:t>
            </w:r>
            <w:r>
              <w:rPr>
                <w:rFonts w:hint="eastAsia" w:ascii="宋体" w:hAnsi="宋体" w:cs="宋体"/>
                <w:kern w:val="0"/>
                <w:sz w:val="24"/>
                <w:szCs w:val="24"/>
              </w:rPr>
              <w:t>）；</w:t>
            </w:r>
          </w:p>
          <w:p>
            <w:pPr>
              <w:spacing w:line="360" w:lineRule="auto"/>
              <w:rPr>
                <w:rFonts w:ascii="宋体" w:hAnsi="宋体"/>
                <w:bCs/>
                <w:sz w:val="24"/>
                <w:szCs w:val="24"/>
              </w:rPr>
            </w:pPr>
            <w:r>
              <w:rPr>
                <w:rFonts w:hint="eastAsia" w:ascii="宋体" w:hAnsi="宋体"/>
                <w:bCs/>
                <w:sz w:val="24"/>
                <w:szCs w:val="24"/>
              </w:rPr>
              <w:t>（2）截止时间：同投标截止时间；</w:t>
            </w:r>
          </w:p>
          <w:p>
            <w:pPr>
              <w:spacing w:line="360" w:lineRule="auto"/>
              <w:rPr>
                <w:rFonts w:ascii="宋体" w:hAnsi="宋体"/>
                <w:bCs/>
                <w:sz w:val="24"/>
                <w:szCs w:val="24"/>
              </w:rPr>
            </w:pPr>
            <w:r>
              <w:rPr>
                <w:rFonts w:hint="eastAsia" w:ascii="宋体" w:hAnsi="宋体"/>
                <w:bCs/>
                <w:sz w:val="24"/>
                <w:szCs w:val="24"/>
              </w:rPr>
              <w:t>（3）信用信息查询记录和证据留存具体方式：经采购人确认的查询结果网页截图作为查询记录和证据，与其他采购文件一并保存；</w:t>
            </w:r>
          </w:p>
          <w:p>
            <w:pPr>
              <w:spacing w:line="360" w:lineRule="auto"/>
              <w:rPr>
                <w:rFonts w:ascii="宋体" w:hAnsi="宋体"/>
                <w:bCs/>
                <w:sz w:val="24"/>
                <w:szCs w:val="24"/>
              </w:rPr>
            </w:pPr>
            <w:r>
              <w:rPr>
                <w:rFonts w:hint="eastAsia" w:ascii="宋体" w:hAnsi="宋体"/>
                <w:bCs/>
                <w:sz w:val="24"/>
                <w:szCs w:val="24"/>
              </w:rPr>
              <w:t>（4）信用信息的使用原则：经采购人认定的被列入失信被执行人、重大税收违法案件当事人名单、政府采购严重违法失信行为记录名单的供应商</w:t>
            </w:r>
            <w:r>
              <w:rPr>
                <w:rFonts w:hint="eastAsia" w:ascii="宋体" w:hAnsi="宋体" w:cs="宋体"/>
                <w:kern w:val="0"/>
                <w:sz w:val="24"/>
                <w:szCs w:val="24"/>
              </w:rPr>
              <w:t>、严重违法失信企业名单（黑名单）的供应商，</w:t>
            </w:r>
            <w:r>
              <w:rPr>
                <w:rFonts w:hint="eastAsia" w:ascii="宋体" w:hAnsi="宋体"/>
                <w:bCs/>
                <w:sz w:val="24"/>
                <w:szCs w:val="24"/>
              </w:rPr>
              <w:t>将拒绝其参与政府采购活动。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079" w:type="dxa"/>
            <w:vAlign w:val="center"/>
          </w:tcPr>
          <w:p>
            <w:pPr>
              <w:spacing w:line="360" w:lineRule="auto"/>
              <w:rPr>
                <w:rFonts w:ascii="宋体" w:hAnsi="宋体" w:cs="仿宋_GB2312"/>
                <w:b/>
                <w:sz w:val="24"/>
                <w:szCs w:val="24"/>
                <w:lang w:val="zh-CN"/>
              </w:rPr>
            </w:pPr>
            <w:r>
              <w:rPr>
                <w:rFonts w:hint="eastAsia" w:ascii="宋体" w:hAnsi="宋体"/>
                <w:b/>
                <w:bCs/>
                <w:sz w:val="24"/>
                <w:szCs w:val="24"/>
              </w:rPr>
              <w:t>4、</w:t>
            </w:r>
            <w:r>
              <w:rPr>
                <w:rFonts w:hint="eastAsia" w:ascii="宋体" w:hAnsi="宋体" w:cs="仿宋_GB2312"/>
                <w:b/>
                <w:sz w:val="24"/>
                <w:szCs w:val="24"/>
                <w:lang w:val="zh-CN"/>
              </w:rPr>
              <w:t>报价</w:t>
            </w:r>
          </w:p>
          <w:p>
            <w:pPr>
              <w:spacing w:line="360" w:lineRule="auto"/>
              <w:rPr>
                <w:rFonts w:ascii="宋体" w:hAnsi="宋体"/>
                <w:b/>
                <w:bCs/>
                <w:sz w:val="24"/>
                <w:szCs w:val="24"/>
              </w:rPr>
            </w:pPr>
            <w:r>
              <w:rPr>
                <w:rFonts w:hint="eastAsia" w:ascii="宋体" w:hAnsi="宋体" w:cs="仿宋_GB2312"/>
                <w:sz w:val="24"/>
                <w:szCs w:val="24"/>
                <w:lang w:val="zh-CN"/>
              </w:rPr>
              <w:t>是否超出招标文件中规定的预算金额，超出预算金额的投标无效。如供应商须知前附表规定最高限价，则</w:t>
            </w:r>
            <w:r>
              <w:rPr>
                <w:rFonts w:hint="eastAsia" w:ascii="宋体" w:hAnsi="宋体" w:cs="宋体"/>
                <w:bCs/>
                <w:sz w:val="24"/>
                <w:szCs w:val="24"/>
                <w:lang w:val="zh-CN"/>
              </w:rPr>
              <w:t>超出预算金额和最高限价的投标无效。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079" w:type="dxa"/>
            <w:vAlign w:val="center"/>
          </w:tcPr>
          <w:p>
            <w:pPr>
              <w:spacing w:line="360" w:lineRule="auto"/>
              <w:rPr>
                <w:rFonts w:ascii="宋体" w:hAnsi="宋体"/>
                <w:b/>
                <w:bCs/>
                <w:sz w:val="24"/>
                <w:szCs w:val="24"/>
              </w:rPr>
            </w:pPr>
            <w:r>
              <w:rPr>
                <w:rFonts w:hint="eastAsia" w:ascii="宋体" w:hAnsi="宋体"/>
                <w:b/>
                <w:bCs/>
                <w:sz w:val="24"/>
                <w:szCs w:val="24"/>
              </w:rPr>
              <w:t>5、联合体协议</w:t>
            </w:r>
          </w:p>
          <w:p>
            <w:pPr>
              <w:spacing w:line="360" w:lineRule="auto"/>
              <w:rPr>
                <w:rFonts w:ascii="宋体" w:hAnsi="宋体"/>
                <w:b/>
                <w:bCs/>
                <w:sz w:val="24"/>
                <w:szCs w:val="24"/>
              </w:rPr>
            </w:pPr>
            <w:r>
              <w:rPr>
                <w:rFonts w:hint="eastAsia" w:ascii="宋体" w:hAnsi="宋体"/>
                <w:bCs/>
                <w:sz w:val="24"/>
                <w:szCs w:val="24"/>
              </w:rPr>
              <w:t>招标文件接受联合体投标且供应商为联合体的，供应商应提供本协议；否则无须提供。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079" w:type="dxa"/>
            <w:vAlign w:val="center"/>
          </w:tcPr>
          <w:p>
            <w:pPr>
              <w:spacing w:line="360" w:lineRule="auto"/>
              <w:rPr>
                <w:rFonts w:ascii="宋体" w:hAnsi="宋体"/>
                <w:b/>
                <w:sz w:val="24"/>
                <w:szCs w:val="24"/>
              </w:rPr>
            </w:pPr>
            <w:r>
              <w:rPr>
                <w:rFonts w:hint="eastAsia" w:ascii="宋体" w:hAnsi="宋体"/>
                <w:b/>
                <w:sz w:val="24"/>
                <w:szCs w:val="24"/>
              </w:rPr>
              <w:t>6、投标保证金</w:t>
            </w:r>
          </w:p>
          <w:p>
            <w:pPr>
              <w:spacing w:line="360" w:lineRule="auto"/>
              <w:rPr>
                <w:rFonts w:ascii="宋体" w:hAnsi="宋体"/>
                <w:sz w:val="24"/>
                <w:szCs w:val="24"/>
              </w:rPr>
            </w:pPr>
            <w:r>
              <w:rPr>
                <w:rFonts w:hint="eastAsia" w:ascii="宋体" w:hAnsi="宋体"/>
                <w:sz w:val="24"/>
                <w:szCs w:val="24"/>
              </w:rPr>
              <w:t>是否按供应商须知前附表规定成功交纳。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79" w:type="dxa"/>
            <w:vAlign w:val="center"/>
          </w:tcPr>
          <w:p>
            <w:pPr>
              <w:spacing w:line="360" w:lineRule="auto"/>
              <w:contextualSpacing/>
              <w:rPr>
                <w:rFonts w:ascii="宋体" w:hAnsi="宋体"/>
                <w:b/>
                <w:sz w:val="24"/>
                <w:szCs w:val="24"/>
              </w:rPr>
            </w:pPr>
            <w:r>
              <w:rPr>
                <w:rFonts w:hint="eastAsia" w:ascii="宋体" w:hAnsi="宋体"/>
                <w:b/>
                <w:sz w:val="24"/>
                <w:szCs w:val="24"/>
              </w:rPr>
              <w:t>7、法定代表人身份证明或提供法定代表人授权委托书及被授权人身份证明。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79" w:type="dxa"/>
            <w:vAlign w:val="center"/>
          </w:tcPr>
          <w:p>
            <w:pPr>
              <w:spacing w:line="360" w:lineRule="auto"/>
              <w:contextualSpacing/>
              <w:rPr>
                <w:rFonts w:ascii="宋体" w:hAnsi="宋体"/>
                <w:b/>
                <w:sz w:val="24"/>
                <w:szCs w:val="24"/>
              </w:rPr>
            </w:pPr>
            <w:r>
              <w:rPr>
                <w:rFonts w:hint="eastAsia" w:ascii="宋体" w:hAnsi="宋体"/>
                <w:b/>
                <w:sz w:val="24"/>
                <w:szCs w:val="24"/>
              </w:rPr>
              <w:t>8、是否符合</w:t>
            </w:r>
            <w:r>
              <w:rPr>
                <w:rFonts w:hint="eastAsia" w:ascii="宋体" w:hAnsi="宋体" w:cs="宋体"/>
                <w:b/>
                <w:bCs/>
                <w:sz w:val="24"/>
                <w:szCs w:val="24"/>
              </w:rPr>
              <w:t>供应商资格的要求</w:t>
            </w:r>
          </w:p>
        </w:tc>
      </w:tr>
    </w:tbl>
    <w:p>
      <w:pPr>
        <w:pStyle w:val="8"/>
        <w:spacing w:line="360" w:lineRule="auto"/>
        <w:ind w:firstLine="482" w:firstLineChars="200"/>
        <w:contextualSpacing/>
        <w:rPr>
          <w:rFonts w:ascii="宋体" w:hAnsi="宋体" w:eastAsia="宋体" w:cs="仿宋_GB2312"/>
          <w:b/>
          <w:szCs w:val="24"/>
          <w:lang w:val="zh-CN"/>
        </w:rPr>
      </w:pPr>
    </w:p>
    <w:p>
      <w:pPr>
        <w:pStyle w:val="8"/>
        <w:spacing w:line="360" w:lineRule="auto"/>
        <w:contextualSpacing/>
        <w:jc w:val="center"/>
        <w:rPr>
          <w:rFonts w:ascii="宋体" w:hAnsi="宋体" w:eastAsia="宋体" w:cs="仿宋_GB2312"/>
          <w:b/>
          <w:sz w:val="32"/>
          <w:szCs w:val="32"/>
          <w:lang w:val="zh-CN"/>
        </w:rPr>
      </w:pPr>
      <w:r>
        <w:rPr>
          <w:rFonts w:hint="eastAsia" w:ascii="宋体" w:hAnsi="宋体" w:eastAsia="宋体" w:cs="仿宋_GB2312"/>
          <w:b/>
          <w:sz w:val="32"/>
          <w:szCs w:val="32"/>
          <w:lang w:val="zh-CN"/>
        </w:rPr>
        <w:t>二、评标</w:t>
      </w:r>
    </w:p>
    <w:p>
      <w:pPr>
        <w:pStyle w:val="8"/>
        <w:spacing w:line="360" w:lineRule="auto"/>
        <w:ind w:firstLine="482" w:firstLineChars="200"/>
        <w:contextualSpacing/>
        <w:rPr>
          <w:rFonts w:ascii="宋体" w:hAnsi="宋体" w:eastAsia="宋体" w:cs="仿宋_GB2312"/>
          <w:b/>
          <w:szCs w:val="24"/>
          <w:lang w:val="zh-CN"/>
        </w:rPr>
      </w:pPr>
      <w:r>
        <w:rPr>
          <w:rFonts w:hint="eastAsia" w:ascii="宋体" w:hAnsi="宋体" w:eastAsia="宋体" w:cs="仿宋_GB2312"/>
          <w:b/>
          <w:szCs w:val="24"/>
          <w:lang w:val="zh-CN"/>
        </w:rPr>
        <w:t>（一）评标方法</w:t>
      </w:r>
    </w:p>
    <w:p>
      <w:pPr>
        <w:pStyle w:val="8"/>
        <w:spacing w:line="360" w:lineRule="auto"/>
        <w:ind w:firstLine="480" w:firstLineChars="200"/>
        <w:contextualSpacing/>
        <w:rPr>
          <w:rFonts w:ascii="宋体" w:hAnsi="宋体" w:eastAsia="宋体" w:cs="仿宋_GB2312"/>
          <w:szCs w:val="24"/>
          <w:lang w:val="zh-CN"/>
        </w:rPr>
      </w:pPr>
      <w:r>
        <w:rPr>
          <w:rFonts w:hint="eastAsia" w:ascii="宋体" w:hAnsi="宋体" w:eastAsia="宋体" w:cs="仿宋_GB2312"/>
          <w:szCs w:val="24"/>
          <w:lang w:val="zh-CN"/>
        </w:rPr>
        <w:t>本项目采用综合评分法。</w:t>
      </w:r>
    </w:p>
    <w:p>
      <w:pPr>
        <w:pStyle w:val="8"/>
        <w:spacing w:line="360" w:lineRule="auto"/>
        <w:ind w:firstLine="482" w:firstLineChars="200"/>
        <w:contextualSpacing/>
        <w:rPr>
          <w:rFonts w:ascii="宋体" w:hAnsi="宋体" w:eastAsia="宋体" w:cs="仿宋_GB2312"/>
          <w:b/>
          <w:szCs w:val="24"/>
          <w:lang w:val="zh-CN"/>
        </w:rPr>
      </w:pPr>
      <w:r>
        <w:rPr>
          <w:rFonts w:hint="eastAsia" w:ascii="宋体" w:hAnsi="宋体" w:eastAsia="宋体" w:cs="仿宋_GB2312"/>
          <w:b/>
          <w:szCs w:val="24"/>
          <w:lang w:val="zh-CN"/>
        </w:rPr>
        <w:t>（二）</w:t>
      </w:r>
      <w:r>
        <w:rPr>
          <w:rFonts w:ascii="宋体" w:hAnsi="宋体" w:eastAsia="宋体" w:cs="仿宋_GB2312"/>
          <w:b/>
          <w:szCs w:val="24"/>
          <w:lang w:val="zh-CN"/>
        </w:rPr>
        <w:t>评标委员会负责具体评标事务，并独立履行下列职责</w:t>
      </w:r>
    </w:p>
    <w:p>
      <w:pPr>
        <w:pStyle w:val="8"/>
        <w:spacing w:line="360" w:lineRule="auto"/>
        <w:ind w:firstLine="482" w:firstLineChars="200"/>
        <w:contextualSpacing/>
        <w:jc w:val="left"/>
        <w:rPr>
          <w:rFonts w:ascii="宋体" w:hAnsi="宋体" w:eastAsia="宋体" w:cs="仿宋_GB2312"/>
          <w:b/>
          <w:szCs w:val="24"/>
          <w:lang w:val="zh-CN"/>
        </w:rPr>
      </w:pPr>
      <w:r>
        <w:rPr>
          <w:rFonts w:hint="eastAsia" w:ascii="宋体" w:hAnsi="宋体" w:eastAsia="宋体" w:cs="仿宋_GB2312"/>
          <w:b/>
          <w:szCs w:val="24"/>
          <w:lang w:val="zh-CN"/>
        </w:rPr>
        <w:t>1、</w:t>
      </w:r>
      <w:r>
        <w:rPr>
          <w:rFonts w:ascii="宋体" w:hAnsi="宋体" w:eastAsia="宋体" w:cs="仿宋_GB2312"/>
          <w:b/>
          <w:szCs w:val="24"/>
          <w:lang w:val="zh-CN"/>
        </w:rPr>
        <w:t>审查、评价投标文件是否符合招标文件的商务、技术等实质性要求；</w:t>
      </w:r>
    </w:p>
    <w:p>
      <w:pPr>
        <w:pStyle w:val="8"/>
        <w:spacing w:line="360" w:lineRule="auto"/>
        <w:ind w:firstLine="480" w:firstLineChars="200"/>
        <w:contextualSpacing/>
        <w:jc w:val="left"/>
        <w:rPr>
          <w:rFonts w:ascii="宋体" w:hAnsi="宋体" w:eastAsia="宋体" w:cs="仿宋_GB2312"/>
          <w:szCs w:val="24"/>
          <w:lang w:val="zh-CN"/>
        </w:rPr>
      </w:pPr>
      <w:r>
        <w:rPr>
          <w:rFonts w:hint="eastAsia" w:ascii="宋体" w:hAnsi="宋体" w:eastAsia="宋体" w:cs="仿宋_GB2312"/>
          <w:szCs w:val="24"/>
          <w:lang w:val="zh-CN"/>
        </w:rPr>
        <w:t>评标委员会对符合资格的供应商的投标文件进行符合性审查，以确定其是否满足招标文件的商务、技术等实质性要求。</w:t>
      </w:r>
    </w:p>
    <w:p>
      <w:pPr>
        <w:pStyle w:val="8"/>
        <w:spacing w:line="360" w:lineRule="auto"/>
        <w:ind w:firstLine="480" w:firstLineChars="200"/>
        <w:contextualSpacing/>
        <w:jc w:val="left"/>
        <w:rPr>
          <w:rFonts w:ascii="宋体" w:hAnsi="宋体" w:cs="仿宋_GB2312"/>
          <w:szCs w:val="24"/>
          <w:lang w:val="zh-CN"/>
        </w:rPr>
      </w:pPr>
      <w:r>
        <w:rPr>
          <w:rFonts w:hint="eastAsia" w:ascii="宋体" w:hAnsi="宋体" w:cs="仿宋_GB2312"/>
          <w:szCs w:val="24"/>
          <w:lang w:val="zh-CN"/>
        </w:rPr>
        <w:t>注：符合性审查中所涉及到的证书及材料，如标识为原件的均须在开标现场提供原件，无标识原件以投标文件中加盖公章的复印件为准。</w:t>
      </w:r>
    </w:p>
    <w:p>
      <w:pPr>
        <w:pStyle w:val="8"/>
        <w:spacing w:line="360" w:lineRule="auto"/>
        <w:ind w:firstLine="482" w:firstLineChars="200"/>
        <w:contextualSpacing/>
        <w:rPr>
          <w:rFonts w:ascii="宋体" w:hAnsi="宋体" w:eastAsia="宋体" w:cs="仿宋_GB2312"/>
          <w:b/>
          <w:szCs w:val="24"/>
          <w:lang w:val="zh-CN"/>
        </w:rPr>
      </w:pPr>
      <w:r>
        <w:rPr>
          <w:rFonts w:hint="eastAsia" w:ascii="宋体" w:hAnsi="宋体" w:eastAsia="宋体" w:cs="仿宋_GB2312"/>
          <w:b/>
          <w:szCs w:val="24"/>
          <w:lang w:val="zh-CN"/>
        </w:rPr>
        <w:t>2、</w:t>
      </w:r>
      <w:r>
        <w:rPr>
          <w:rFonts w:ascii="宋体" w:hAnsi="宋体" w:eastAsia="宋体" w:cs="仿宋_GB2312"/>
          <w:b/>
          <w:szCs w:val="24"/>
          <w:lang w:val="zh-CN"/>
        </w:rPr>
        <w:t>要求</w:t>
      </w:r>
      <w:r>
        <w:rPr>
          <w:rFonts w:hint="eastAsia" w:ascii="宋体" w:hAnsi="宋体" w:eastAsia="宋体" w:cs="仿宋_GB2312"/>
          <w:b/>
          <w:szCs w:val="24"/>
          <w:lang w:val="zh-CN"/>
        </w:rPr>
        <w:t>供应商</w:t>
      </w:r>
      <w:r>
        <w:rPr>
          <w:rFonts w:ascii="宋体" w:hAnsi="宋体" w:eastAsia="宋体" w:cs="仿宋_GB2312"/>
          <w:b/>
          <w:szCs w:val="24"/>
          <w:lang w:val="zh-CN"/>
        </w:rPr>
        <w:t>对投标文件有关事项作出澄清或者说明；</w:t>
      </w:r>
    </w:p>
    <w:p>
      <w:pPr>
        <w:pStyle w:val="8"/>
        <w:spacing w:line="360" w:lineRule="auto"/>
        <w:ind w:firstLine="480" w:firstLineChars="200"/>
        <w:contextualSpacing/>
        <w:rPr>
          <w:rFonts w:ascii="宋体" w:hAnsi="宋体" w:eastAsia="宋体" w:cs="仿宋_GB2312"/>
          <w:szCs w:val="24"/>
          <w:lang w:val="zh-CN"/>
        </w:rPr>
      </w:pPr>
      <w:r>
        <w:rPr>
          <w:rFonts w:ascii="宋体" w:hAnsi="宋体" w:eastAsia="宋体" w:cs="仿宋_GB2312"/>
          <w:szCs w:val="24"/>
          <w:lang w:val="zh-CN"/>
        </w:rPr>
        <w:t>对于投标文件中含义不明确、同类问题表述不一致或者有明显文字和计算错误的内容，评标委员会应当以书面形式要求</w:t>
      </w:r>
      <w:r>
        <w:rPr>
          <w:rFonts w:hint="eastAsia" w:ascii="宋体" w:hAnsi="宋体" w:eastAsia="宋体" w:cs="仿宋_GB2312"/>
          <w:szCs w:val="24"/>
          <w:lang w:val="zh-CN"/>
        </w:rPr>
        <w:t>供应商</w:t>
      </w:r>
      <w:r>
        <w:rPr>
          <w:rFonts w:ascii="宋体" w:hAnsi="宋体" w:eastAsia="宋体" w:cs="仿宋_GB2312"/>
          <w:szCs w:val="24"/>
          <w:lang w:val="zh-CN"/>
        </w:rPr>
        <w:t>作出必要的澄清、说明或者补正。</w:t>
      </w:r>
    </w:p>
    <w:p>
      <w:pPr>
        <w:pStyle w:val="8"/>
        <w:spacing w:line="360" w:lineRule="auto"/>
        <w:ind w:firstLine="480" w:firstLineChars="200"/>
        <w:contextualSpacing/>
        <w:rPr>
          <w:rFonts w:ascii="宋体" w:hAnsi="宋体" w:eastAsia="宋体" w:cs="仿宋_GB2312"/>
          <w:szCs w:val="24"/>
          <w:lang w:val="zh-CN"/>
        </w:rPr>
      </w:pPr>
      <w:r>
        <w:rPr>
          <w:rFonts w:hint="eastAsia" w:ascii="宋体" w:hAnsi="宋体" w:eastAsia="宋体" w:cs="仿宋_GB2312"/>
          <w:szCs w:val="24"/>
          <w:lang w:val="zh-CN"/>
        </w:rPr>
        <w:t>供应商</w:t>
      </w:r>
      <w:r>
        <w:rPr>
          <w:rFonts w:ascii="宋体" w:hAnsi="宋体" w:eastAsia="宋体" w:cs="仿宋_GB2312"/>
          <w:szCs w:val="24"/>
          <w:lang w:val="zh-CN"/>
        </w:rPr>
        <w:t>的澄清、说明或者补正应当采用书面形式，并加盖公章，或者由法定代表人或其授权的代表签字。</w:t>
      </w:r>
      <w:r>
        <w:rPr>
          <w:rFonts w:hint="eastAsia" w:ascii="宋体" w:hAnsi="宋体" w:eastAsia="宋体" w:cs="仿宋_GB2312"/>
          <w:szCs w:val="24"/>
          <w:lang w:val="zh-CN"/>
        </w:rPr>
        <w:t>供应商</w:t>
      </w:r>
      <w:r>
        <w:rPr>
          <w:rFonts w:ascii="宋体" w:hAnsi="宋体" w:eastAsia="宋体" w:cs="仿宋_GB2312"/>
          <w:szCs w:val="24"/>
          <w:lang w:val="zh-CN"/>
        </w:rPr>
        <w:t>的澄清、说明或者补正不得超出投标文件的范围或者改变投标文件的实质性内容。</w:t>
      </w:r>
    </w:p>
    <w:p>
      <w:pPr>
        <w:pStyle w:val="8"/>
        <w:spacing w:line="360" w:lineRule="auto"/>
        <w:ind w:firstLine="465"/>
        <w:contextualSpacing/>
        <w:jc w:val="left"/>
        <w:rPr>
          <w:rFonts w:ascii="宋体" w:hAnsi="宋体" w:eastAsia="宋体" w:cs="仿宋_GB2312"/>
          <w:b/>
          <w:szCs w:val="24"/>
          <w:lang w:val="zh-CN"/>
        </w:rPr>
      </w:pPr>
      <w:r>
        <w:rPr>
          <w:rFonts w:hint="eastAsia" w:ascii="宋体" w:hAnsi="宋体" w:eastAsia="宋体" w:cs="仿宋_GB2312"/>
          <w:b/>
          <w:szCs w:val="24"/>
          <w:lang w:val="zh-CN"/>
        </w:rPr>
        <w:t>3、</w:t>
      </w:r>
      <w:r>
        <w:rPr>
          <w:rFonts w:ascii="宋体" w:hAnsi="宋体" w:eastAsia="宋体" w:cs="仿宋_GB2312"/>
          <w:b/>
          <w:szCs w:val="24"/>
          <w:lang w:val="zh-CN"/>
        </w:rPr>
        <w:t>对投标文件进行比较和评价；</w:t>
      </w:r>
    </w:p>
    <w:p>
      <w:pPr>
        <w:pStyle w:val="8"/>
        <w:spacing w:line="360" w:lineRule="auto"/>
        <w:ind w:firstLine="480" w:firstLineChars="200"/>
        <w:contextualSpacing/>
        <w:rPr>
          <w:rFonts w:ascii="宋体" w:hAnsi="宋体" w:cs="仿宋_GB2312"/>
          <w:szCs w:val="24"/>
          <w:lang w:val="zh-CN"/>
        </w:rPr>
      </w:pPr>
      <w:r>
        <w:rPr>
          <w:rFonts w:hint="eastAsia" w:ascii="宋体" w:hAnsi="宋体" w:eastAsia="宋体" w:cs="仿宋_GB2312"/>
          <w:szCs w:val="24"/>
          <w:lang w:val="zh-CN"/>
        </w:rPr>
        <w:t>评标委员会按照招标文件中规定的评标方法和标准，对符合性审查合格的投标文件进行商务和技术评估，综合比较与评价。评标时，评标委员会各成员应当独立对每个供应商的投标文件进行评价，并汇总每个供应商的得分。</w:t>
      </w:r>
      <w:r>
        <w:rPr>
          <w:rFonts w:hint="eastAsia" w:ascii="宋体" w:hAnsi="宋体" w:cs="仿宋_GB2312"/>
          <w:szCs w:val="24"/>
          <w:lang w:val="zh-CN"/>
        </w:rPr>
        <w:t>评标过程中，不得去掉报价中的最高报价和最低报价。</w:t>
      </w:r>
    </w:p>
    <w:p>
      <w:pPr>
        <w:tabs>
          <w:tab w:val="left" w:pos="1260"/>
        </w:tabs>
        <w:autoSpaceDE w:val="0"/>
        <w:autoSpaceDN w:val="0"/>
        <w:spacing w:line="360" w:lineRule="auto"/>
        <w:ind w:firstLine="482" w:firstLineChars="200"/>
        <w:contextualSpacing/>
        <w:rPr>
          <w:rFonts w:ascii="宋体" w:hAnsi="宋体" w:cs="仿宋_GB2312"/>
          <w:b/>
          <w:sz w:val="24"/>
          <w:szCs w:val="24"/>
          <w:lang w:val="zh-CN"/>
        </w:rPr>
      </w:pPr>
      <w:r>
        <w:rPr>
          <w:rFonts w:hint="eastAsia" w:ascii="宋体" w:hAnsi="宋体" w:cs="仿宋_GB2312"/>
          <w:b/>
          <w:sz w:val="24"/>
          <w:szCs w:val="24"/>
          <w:lang w:val="zh-CN"/>
        </w:rPr>
        <w:t>（1）投标无效情形</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1）供应商应当遵循公平竞争的原则，不得恶意串通，不得妨碍其他供应商的竞争行为，不得损害采购人或者其他供应商的合法权益。在评标过程中发现供应商有上述情形的，评标委员会应当认定其投标无效。</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2）符合性审查资料未按招标文件要求签署、盖章的；</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3）有下列情形之一的，视为供应商串通投标，其投标无效：</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a.不同供应商的投标文件由同一单位或者个人编制；</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b.不同供应商委托同一单位或者个人办理投标事宜；</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c.不同供应商的投标文件载明的项目管理成员或者联系人员为同一人；</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d.不同供应商的投标文件异常一致或者投标报价呈规律性差异；</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e.不同供应商的投标文件相互混装；</w:t>
      </w:r>
    </w:p>
    <w:p>
      <w:pPr>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4）评标委员会认为供应商的报价明显低于其他通过符合性审查供应商的报价，有可能影响产品质量或者不能诚信履约的，应当要求其在评标现场合理的时间内提供书面说明，必要时提交相关证明材料；供应商不能证明其报价合理性的，评标委员会应当将其作为无效投标处理。</w:t>
      </w:r>
    </w:p>
    <w:p>
      <w:pPr>
        <w:spacing w:line="360" w:lineRule="auto"/>
        <w:ind w:left="480"/>
        <w:contextualSpacing/>
        <w:rPr>
          <w:rFonts w:ascii="宋体" w:hAnsi="宋体" w:cs="仿宋_GB2312"/>
          <w:sz w:val="24"/>
          <w:szCs w:val="24"/>
          <w:lang w:val="zh-CN"/>
        </w:rPr>
      </w:pPr>
      <w:r>
        <w:rPr>
          <w:rFonts w:hint="eastAsia" w:ascii="宋体" w:hAnsi="宋体" w:cs="仿宋_GB2312"/>
          <w:sz w:val="24"/>
          <w:szCs w:val="24"/>
          <w:lang w:val="zh-CN"/>
        </w:rPr>
        <w:t>5）提供虚假材料谋取中标、成交的</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6）</w:t>
      </w:r>
      <w:r>
        <w:rPr>
          <w:rFonts w:ascii="宋体" w:hAnsi="宋体" w:cs="仿宋_GB2312"/>
          <w:sz w:val="24"/>
          <w:szCs w:val="24"/>
          <w:lang w:val="zh-CN"/>
        </w:rPr>
        <w:t>法律、法规和招标文件规定的其他无效情形。</w:t>
      </w:r>
    </w:p>
    <w:p>
      <w:pPr>
        <w:pStyle w:val="8"/>
        <w:spacing w:line="360" w:lineRule="auto"/>
        <w:ind w:firstLine="482" w:firstLineChars="200"/>
        <w:contextualSpacing/>
        <w:rPr>
          <w:rFonts w:ascii="宋体" w:hAnsi="宋体" w:eastAsia="宋体" w:cs="仿宋_GB2312"/>
          <w:b/>
          <w:szCs w:val="24"/>
          <w:lang w:val="zh-CN"/>
        </w:rPr>
      </w:pPr>
      <w:r>
        <w:rPr>
          <w:rFonts w:hint="eastAsia" w:ascii="宋体" w:hAnsi="宋体" w:eastAsia="宋体" w:cs="仿宋_GB2312"/>
          <w:b/>
          <w:szCs w:val="24"/>
          <w:lang w:val="zh-CN"/>
        </w:rPr>
        <w:t>（2）评标标准</w:t>
      </w:r>
    </w:p>
    <w:tbl>
      <w:tblPr>
        <w:tblStyle w:val="1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4"/>
        <w:gridCol w:w="6599"/>
        <w:gridCol w:w="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trPr>
        <w:tc>
          <w:tcPr>
            <w:tcW w:w="1484" w:type="dxa"/>
            <w:vAlign w:val="center"/>
          </w:tcPr>
          <w:p>
            <w:pPr>
              <w:widowControl/>
              <w:jc w:val="center"/>
            </w:pPr>
            <w:r>
              <w:rPr>
                <w:rFonts w:hint="eastAsia" w:ascii="仿宋" w:hAnsi="仿宋" w:eastAsia="仿宋" w:cs="仿宋"/>
                <w:kern w:val="0"/>
                <w:sz w:val="24"/>
              </w:rPr>
              <w:t>分值构成</w:t>
            </w:r>
          </w:p>
        </w:tc>
        <w:tc>
          <w:tcPr>
            <w:tcW w:w="7576" w:type="dxa"/>
            <w:gridSpan w:val="2"/>
            <w:vAlign w:val="center"/>
          </w:tcPr>
          <w:p>
            <w:pPr>
              <w:widowControl/>
              <w:spacing w:line="360" w:lineRule="auto"/>
              <w:ind w:firstLine="480"/>
              <w:jc w:val="center"/>
            </w:pPr>
            <w:r>
              <w:rPr>
                <w:rFonts w:hint="eastAsia" w:ascii="仿宋" w:hAnsi="仿宋" w:eastAsia="仿宋" w:cs="仿宋"/>
                <w:kern w:val="0"/>
                <w:sz w:val="24"/>
              </w:rPr>
              <w:t>价格分值：</w:t>
            </w:r>
            <w:r>
              <w:rPr>
                <w:rFonts w:hint="eastAsia" w:ascii="宋体" w:hAnsi="宋体" w:cs="宋体"/>
                <w:kern w:val="0"/>
                <w:sz w:val="24"/>
                <w:u w:val="single"/>
              </w:rPr>
              <w:t>  </w:t>
            </w:r>
            <w:r>
              <w:rPr>
                <w:rFonts w:hint="eastAsia" w:ascii="仿宋" w:hAnsi="仿宋" w:eastAsia="仿宋" w:cs="仿宋"/>
                <w:kern w:val="0"/>
                <w:sz w:val="24"/>
                <w:u w:val="single"/>
              </w:rPr>
              <w:t>25</w:t>
            </w:r>
            <w:r>
              <w:rPr>
                <w:rFonts w:hint="eastAsia" w:ascii="宋体" w:hAnsi="宋体" w:cs="宋体"/>
                <w:kern w:val="0"/>
                <w:sz w:val="24"/>
                <w:u w:val="single"/>
              </w:rPr>
              <w:t xml:space="preserve">  </w:t>
            </w:r>
            <w:r>
              <w:rPr>
                <w:rFonts w:hint="eastAsia" w:ascii="仿宋" w:hAnsi="仿宋" w:eastAsia="仿宋" w:cs="仿宋"/>
                <w:kern w:val="0"/>
                <w:sz w:val="24"/>
                <w:u w:val="single"/>
              </w:rPr>
              <w:t xml:space="preserve"> </w:t>
            </w:r>
            <w:r>
              <w:rPr>
                <w:rFonts w:hint="eastAsia" w:ascii="仿宋" w:hAnsi="仿宋" w:eastAsia="仿宋" w:cs="仿宋"/>
                <w:kern w:val="0"/>
                <w:sz w:val="24"/>
              </w:rPr>
              <w:t>分</w:t>
            </w:r>
          </w:p>
          <w:p>
            <w:pPr>
              <w:widowControl/>
              <w:spacing w:line="360" w:lineRule="auto"/>
              <w:ind w:firstLine="480"/>
              <w:jc w:val="center"/>
            </w:pPr>
            <w:r>
              <w:rPr>
                <w:rFonts w:hint="eastAsia" w:ascii="仿宋" w:hAnsi="仿宋" w:eastAsia="仿宋" w:cs="仿宋"/>
                <w:kern w:val="0"/>
                <w:sz w:val="24"/>
              </w:rPr>
              <w:t>商务部分：</w:t>
            </w:r>
            <w:r>
              <w:rPr>
                <w:rFonts w:hint="eastAsia" w:ascii="宋体" w:hAnsi="宋体" w:cs="宋体"/>
                <w:kern w:val="0"/>
                <w:sz w:val="24"/>
                <w:u w:val="single"/>
              </w:rPr>
              <w:t>  </w:t>
            </w:r>
            <w:r>
              <w:rPr>
                <w:rFonts w:hint="eastAsia" w:ascii="仿宋" w:hAnsi="仿宋" w:eastAsia="仿宋" w:cs="仿宋"/>
                <w:kern w:val="0"/>
                <w:sz w:val="24"/>
                <w:u w:val="single"/>
              </w:rPr>
              <w:t>45</w:t>
            </w:r>
            <w:r>
              <w:rPr>
                <w:rFonts w:hint="eastAsia" w:ascii="宋体" w:hAnsi="宋体" w:cs="宋体"/>
                <w:kern w:val="0"/>
                <w:sz w:val="24"/>
                <w:u w:val="single"/>
              </w:rPr>
              <w:t xml:space="preserve">   </w:t>
            </w:r>
            <w:r>
              <w:rPr>
                <w:rFonts w:hint="eastAsia" w:ascii="仿宋" w:hAnsi="仿宋" w:eastAsia="仿宋" w:cs="仿宋"/>
                <w:kern w:val="0"/>
                <w:sz w:val="24"/>
                <w:u w:val="single"/>
              </w:rPr>
              <w:t xml:space="preserve"> </w:t>
            </w:r>
            <w:r>
              <w:rPr>
                <w:rFonts w:hint="eastAsia" w:ascii="仿宋" w:hAnsi="仿宋" w:eastAsia="仿宋" w:cs="仿宋"/>
                <w:kern w:val="0"/>
                <w:sz w:val="24"/>
              </w:rPr>
              <w:t>分</w:t>
            </w:r>
          </w:p>
          <w:p>
            <w:pPr>
              <w:widowControl/>
              <w:spacing w:line="360" w:lineRule="auto"/>
              <w:ind w:firstLine="480"/>
              <w:jc w:val="center"/>
            </w:pPr>
            <w:r>
              <w:rPr>
                <w:rFonts w:hint="eastAsia" w:ascii="仿宋" w:hAnsi="仿宋" w:eastAsia="仿宋" w:cs="仿宋"/>
                <w:kern w:val="0"/>
                <w:sz w:val="24"/>
              </w:rPr>
              <w:t>技术部分：</w:t>
            </w:r>
            <w:r>
              <w:rPr>
                <w:rFonts w:eastAsia="仿宋" w:cs="Calibri"/>
                <w:kern w:val="0"/>
                <w:sz w:val="24"/>
                <w:u w:val="single"/>
              </w:rPr>
              <w:t xml:space="preserve">   </w:t>
            </w:r>
            <w:r>
              <w:rPr>
                <w:rFonts w:hint="eastAsia" w:eastAsia="仿宋" w:cs="Calibri"/>
                <w:kern w:val="0"/>
                <w:sz w:val="24"/>
                <w:u w:val="single"/>
              </w:rPr>
              <w:t xml:space="preserve">  </w:t>
            </w:r>
            <w:r>
              <w:rPr>
                <w:rFonts w:hint="eastAsia" w:ascii="仿宋" w:hAnsi="仿宋" w:eastAsia="仿宋" w:cs="仿宋"/>
                <w:kern w:val="0"/>
                <w:sz w:val="24"/>
                <w:u w:val="single"/>
              </w:rPr>
              <w:t xml:space="preserve">30  </w:t>
            </w:r>
            <w:r>
              <w:rPr>
                <w:rFonts w:eastAsia="仿宋" w:cs="Calibri"/>
                <w:kern w:val="0"/>
                <w:sz w:val="24"/>
                <w:u w:val="single"/>
              </w:rPr>
              <w:t xml:space="preserve">  </w:t>
            </w:r>
            <w:r>
              <w:rPr>
                <w:rFonts w:ascii="仿宋" w:hAnsi="仿宋" w:eastAsia="仿宋" w:cs="仿宋"/>
                <w:kern w:val="0"/>
                <w:sz w:val="24"/>
                <w:u w:val="single"/>
              </w:rPr>
              <w:t xml:space="preserve"> </w:t>
            </w:r>
            <w:r>
              <w:rPr>
                <w:rFonts w:hint="eastAsia" w:ascii="仿宋" w:hAnsi="仿宋" w:eastAsia="仿宋" w:cs="仿宋"/>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60" w:type="dxa"/>
            <w:gridSpan w:val="3"/>
            <w:vAlign w:val="center"/>
          </w:tcPr>
          <w:p>
            <w:pPr>
              <w:widowControl/>
              <w:jc w:val="center"/>
            </w:pPr>
            <w:r>
              <w:rPr>
                <w:rFonts w:hint="eastAsia" w:ascii="仿宋" w:hAnsi="仿宋" w:eastAsia="仿宋" w:cs="仿宋"/>
                <w:b/>
                <w:kern w:val="0"/>
                <w:sz w:val="24"/>
              </w:rPr>
              <w:t>一、价格部分（满分</w:t>
            </w:r>
            <w:r>
              <w:rPr>
                <w:rFonts w:hint="eastAsia" w:ascii="仿宋" w:hAnsi="仿宋" w:eastAsia="仿宋" w:cs="仿宋"/>
                <w:b/>
                <w:kern w:val="0"/>
                <w:sz w:val="24"/>
                <w:u w:val="single"/>
              </w:rPr>
              <w:t>25</w:t>
            </w:r>
            <w:r>
              <w:rPr>
                <w:rFonts w:hint="eastAsia" w:ascii="仿宋" w:hAnsi="仿宋" w:eastAsia="仿宋" w:cs="仿宋"/>
                <w:b/>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84" w:type="dxa"/>
            <w:vAlign w:val="center"/>
          </w:tcPr>
          <w:p>
            <w:pPr>
              <w:widowControl/>
              <w:jc w:val="center"/>
            </w:pPr>
            <w:r>
              <w:rPr>
                <w:rFonts w:hint="eastAsia" w:ascii="仿宋" w:hAnsi="仿宋" w:eastAsia="仿宋" w:cs="仿宋"/>
                <w:b/>
                <w:kern w:val="0"/>
                <w:sz w:val="24"/>
              </w:rPr>
              <w:t>评分因素</w:t>
            </w:r>
          </w:p>
        </w:tc>
        <w:tc>
          <w:tcPr>
            <w:tcW w:w="6599" w:type="dxa"/>
            <w:vAlign w:val="center"/>
          </w:tcPr>
          <w:p>
            <w:pPr>
              <w:widowControl/>
              <w:jc w:val="center"/>
            </w:pPr>
            <w:r>
              <w:rPr>
                <w:rFonts w:hint="eastAsia" w:ascii="仿宋" w:hAnsi="仿宋" w:eastAsia="仿宋" w:cs="仿宋"/>
                <w:b/>
                <w:kern w:val="0"/>
                <w:sz w:val="24"/>
              </w:rPr>
              <w:t>评分标准</w:t>
            </w:r>
          </w:p>
        </w:tc>
        <w:tc>
          <w:tcPr>
            <w:tcW w:w="977" w:type="dxa"/>
            <w:vAlign w:val="center"/>
          </w:tcPr>
          <w:p>
            <w:pPr>
              <w:widowControl/>
              <w:jc w:val="center"/>
            </w:pPr>
            <w:r>
              <w:rPr>
                <w:rFonts w:hint="eastAsia" w:ascii="仿宋" w:hAnsi="仿宋" w:eastAsia="仿宋" w:cs="仿宋"/>
                <w:b/>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trPr>
        <w:tc>
          <w:tcPr>
            <w:tcW w:w="1484" w:type="dxa"/>
            <w:vAlign w:val="center"/>
          </w:tcPr>
          <w:p>
            <w:pPr>
              <w:widowControl/>
              <w:jc w:val="center"/>
            </w:pPr>
            <w:r>
              <w:rPr>
                <w:rFonts w:hint="eastAsia" w:ascii="仿宋" w:hAnsi="仿宋" w:eastAsia="仿宋" w:cs="仿宋"/>
                <w:kern w:val="0"/>
                <w:sz w:val="24"/>
              </w:rPr>
              <w:t>投标报价评分标准</w:t>
            </w:r>
          </w:p>
        </w:tc>
        <w:tc>
          <w:tcPr>
            <w:tcW w:w="6599" w:type="dxa"/>
            <w:vAlign w:val="center"/>
          </w:tcPr>
          <w:p>
            <w:pPr>
              <w:widowControl/>
              <w:jc w:val="left"/>
            </w:pPr>
            <w:r>
              <w:rPr>
                <w:rFonts w:hint="eastAsia" w:ascii="仿宋" w:hAnsi="仿宋" w:eastAsia="仿宋" w:cs="仿宋"/>
                <w:kern w:val="0"/>
                <w:sz w:val="24"/>
              </w:rPr>
              <w:t>评标基准价：满足招标文件要求的有效投标报价中，最低的投标报价为评标基准价。</w:t>
            </w:r>
          </w:p>
          <w:p>
            <w:pPr>
              <w:widowControl/>
              <w:jc w:val="left"/>
              <w:rPr>
                <w:rFonts w:ascii="仿宋" w:hAnsi="仿宋" w:eastAsia="仿宋" w:cs="仿宋"/>
                <w:kern w:val="0"/>
                <w:sz w:val="24"/>
              </w:rPr>
            </w:pPr>
            <w:r>
              <w:rPr>
                <w:rFonts w:hint="eastAsia" w:ascii="仿宋" w:hAnsi="仿宋" w:eastAsia="仿宋" w:cs="仿宋"/>
                <w:kern w:val="0"/>
                <w:sz w:val="24"/>
              </w:rPr>
              <w:t>投标报价得分</w:t>
            </w:r>
            <w:r>
              <w:rPr>
                <w:rFonts w:ascii="仿宋" w:hAnsi="仿宋" w:eastAsia="仿宋" w:cs="仿宋"/>
                <w:kern w:val="0"/>
                <w:sz w:val="24"/>
              </w:rPr>
              <w:t>=</w:t>
            </w:r>
            <w:r>
              <w:rPr>
                <w:rFonts w:hint="eastAsia" w:ascii="仿宋" w:hAnsi="仿宋" w:eastAsia="仿宋" w:cs="仿宋"/>
                <w:kern w:val="0"/>
                <w:sz w:val="24"/>
              </w:rPr>
              <w:t>（评标基准价</w:t>
            </w:r>
            <w:r>
              <w:rPr>
                <w:rFonts w:ascii="仿宋" w:hAnsi="仿宋" w:eastAsia="仿宋" w:cs="仿宋"/>
                <w:kern w:val="0"/>
                <w:sz w:val="24"/>
              </w:rPr>
              <w:t>/</w:t>
            </w:r>
            <w:r>
              <w:rPr>
                <w:rFonts w:hint="eastAsia" w:ascii="仿宋" w:hAnsi="仿宋" w:eastAsia="仿宋" w:cs="仿宋"/>
                <w:kern w:val="0"/>
                <w:sz w:val="24"/>
              </w:rPr>
              <w:t>评标价格）×25</w:t>
            </w:r>
          </w:p>
        </w:tc>
        <w:tc>
          <w:tcPr>
            <w:tcW w:w="977" w:type="dxa"/>
            <w:vAlign w:val="center"/>
          </w:tcPr>
          <w:p>
            <w:pPr>
              <w:widowControl/>
              <w:jc w:val="center"/>
            </w:pPr>
            <w:r>
              <w:rPr>
                <w:rFonts w:hint="eastAsia" w:ascii="仿宋" w:hAnsi="仿宋" w:eastAsia="仿宋" w:cs="仿宋"/>
                <w:kern w:val="0"/>
                <w:sz w:val="24"/>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60" w:type="dxa"/>
            <w:gridSpan w:val="3"/>
            <w:vAlign w:val="center"/>
          </w:tcPr>
          <w:p>
            <w:pPr>
              <w:widowControl/>
              <w:jc w:val="center"/>
            </w:pPr>
            <w:r>
              <w:rPr>
                <w:rFonts w:hint="eastAsia" w:ascii="仿宋" w:hAnsi="仿宋" w:eastAsia="仿宋" w:cs="仿宋"/>
                <w:b/>
                <w:kern w:val="0"/>
                <w:sz w:val="24"/>
              </w:rPr>
              <w:t>二、商务部分（满分</w:t>
            </w:r>
            <w:r>
              <w:rPr>
                <w:rFonts w:hint="eastAsia" w:eastAsia="仿宋" w:cs="Calibri"/>
                <w:b/>
                <w:kern w:val="0"/>
                <w:sz w:val="24"/>
                <w:u w:val="single"/>
              </w:rPr>
              <w:t>45</w:t>
            </w:r>
            <w:r>
              <w:rPr>
                <w:rFonts w:hint="eastAsia" w:ascii="仿宋" w:hAnsi="仿宋" w:eastAsia="仿宋" w:cs="仿宋"/>
                <w:b/>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84" w:type="dxa"/>
            <w:vAlign w:val="center"/>
          </w:tcPr>
          <w:p>
            <w:pPr>
              <w:widowControl/>
              <w:jc w:val="center"/>
            </w:pPr>
            <w:r>
              <w:rPr>
                <w:rFonts w:hint="eastAsia" w:ascii="仿宋" w:hAnsi="仿宋" w:eastAsia="仿宋" w:cs="仿宋"/>
                <w:b/>
                <w:kern w:val="0"/>
                <w:sz w:val="24"/>
              </w:rPr>
              <w:t>评分因素</w:t>
            </w:r>
          </w:p>
        </w:tc>
        <w:tc>
          <w:tcPr>
            <w:tcW w:w="6599" w:type="dxa"/>
            <w:vAlign w:val="center"/>
          </w:tcPr>
          <w:p>
            <w:pPr>
              <w:widowControl/>
              <w:jc w:val="center"/>
            </w:pPr>
            <w:r>
              <w:rPr>
                <w:rFonts w:hint="eastAsia" w:ascii="仿宋" w:hAnsi="仿宋" w:eastAsia="仿宋" w:cs="仿宋"/>
                <w:b/>
                <w:kern w:val="0"/>
                <w:sz w:val="24"/>
              </w:rPr>
              <w:t>评分标准</w:t>
            </w:r>
          </w:p>
        </w:tc>
        <w:tc>
          <w:tcPr>
            <w:tcW w:w="977" w:type="dxa"/>
            <w:vAlign w:val="center"/>
          </w:tcPr>
          <w:p>
            <w:pPr>
              <w:widowControl/>
              <w:jc w:val="center"/>
            </w:pPr>
            <w:r>
              <w:rPr>
                <w:rFonts w:hint="eastAsia" w:ascii="仿宋" w:hAnsi="仿宋" w:eastAsia="仿宋" w:cs="仿宋"/>
                <w:b/>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trPr>
        <w:tc>
          <w:tcPr>
            <w:tcW w:w="1484" w:type="dxa"/>
            <w:vMerge w:val="restart"/>
            <w:vAlign w:val="center"/>
          </w:tcPr>
          <w:p>
            <w:pPr>
              <w:spacing w:line="360" w:lineRule="exact"/>
              <w:jc w:val="center"/>
              <w:rPr>
                <w:rFonts w:ascii="仿宋" w:hAnsi="仿宋" w:eastAsia="仿宋" w:cs="仿宋"/>
                <w:kern w:val="0"/>
                <w:sz w:val="24"/>
              </w:rPr>
            </w:pPr>
            <w:r>
              <w:rPr>
                <w:rFonts w:hint="eastAsia" w:ascii="Times New Roman" w:hAnsi="Times New Roman"/>
                <w:b/>
                <w:sz w:val="24"/>
                <w:szCs w:val="24"/>
              </w:rPr>
              <w:t>商务部分评审45分</w:t>
            </w:r>
          </w:p>
        </w:tc>
        <w:tc>
          <w:tcPr>
            <w:tcW w:w="6599" w:type="dxa"/>
            <w:vAlign w:val="center"/>
          </w:tcPr>
          <w:p>
            <w:pPr>
              <w:pStyle w:val="49"/>
              <w:spacing w:before="22" w:line="360" w:lineRule="auto"/>
              <w:rPr>
                <w:rFonts w:ascii="宋体" w:hAnsi="宋体" w:eastAsia="宋体" w:cs="Times New Roman"/>
                <w:sz w:val="24"/>
                <w:szCs w:val="24"/>
              </w:rPr>
            </w:pPr>
            <w:r>
              <w:rPr>
                <w:rFonts w:hint="eastAsia" w:ascii="宋体" w:hAnsi="宋体" w:eastAsia="宋体"/>
                <w:sz w:val="24"/>
                <w:szCs w:val="24"/>
              </w:rPr>
              <w:t>提供2016年1月1日以后（以签订时间为准），完成的类似业绩每个业绩得5分，本项最高得10分。（以合同为准）</w:t>
            </w:r>
          </w:p>
        </w:tc>
        <w:tc>
          <w:tcPr>
            <w:tcW w:w="977" w:type="dxa"/>
            <w:vAlign w:val="center"/>
          </w:tcPr>
          <w:p>
            <w:pPr>
              <w:jc w:val="center"/>
              <w:rPr>
                <w:rFonts w:ascii="Times New Roman" w:hAnsi="Times New Roman"/>
                <w:szCs w:val="21"/>
              </w:rPr>
            </w:pPr>
            <w:r>
              <w:rPr>
                <w:rFonts w:hint="eastAsia" w:ascii="Times New Roman" w:hAnsi="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trPr>
        <w:tc>
          <w:tcPr>
            <w:tcW w:w="1484" w:type="dxa"/>
            <w:vMerge w:val="continue"/>
            <w:vAlign w:val="center"/>
          </w:tcPr>
          <w:p>
            <w:pPr>
              <w:spacing w:line="360" w:lineRule="exact"/>
              <w:jc w:val="center"/>
              <w:rPr>
                <w:rFonts w:ascii="Times New Roman" w:hAnsi="Times New Roman"/>
                <w:b/>
                <w:sz w:val="24"/>
                <w:szCs w:val="24"/>
              </w:rPr>
            </w:pPr>
          </w:p>
        </w:tc>
        <w:tc>
          <w:tcPr>
            <w:tcW w:w="6599" w:type="dxa"/>
            <w:vAlign w:val="center"/>
          </w:tcPr>
          <w:p>
            <w:pPr>
              <w:pStyle w:val="49"/>
              <w:spacing w:before="22" w:line="360" w:lineRule="auto"/>
              <w:rPr>
                <w:rFonts w:ascii="宋体" w:hAnsi="宋体" w:eastAsia="宋体"/>
                <w:sz w:val="24"/>
                <w:szCs w:val="24"/>
              </w:rPr>
            </w:pPr>
            <w:r>
              <w:rPr>
                <w:rFonts w:hint="eastAsia" w:ascii="宋体" w:hAnsi="宋体" w:eastAsia="宋体"/>
                <w:sz w:val="24"/>
                <w:szCs w:val="24"/>
              </w:rPr>
              <w:t>可以在许昌本地提供服务的得5分。（以相关证明材料为准）</w:t>
            </w:r>
          </w:p>
        </w:tc>
        <w:tc>
          <w:tcPr>
            <w:tcW w:w="977" w:type="dxa"/>
            <w:vAlign w:val="center"/>
          </w:tcPr>
          <w:p>
            <w:pPr>
              <w:jc w:val="center"/>
              <w:rPr>
                <w:rFonts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trPr>
        <w:tc>
          <w:tcPr>
            <w:tcW w:w="1484" w:type="dxa"/>
            <w:vMerge w:val="continue"/>
            <w:vAlign w:val="center"/>
          </w:tcPr>
          <w:p>
            <w:pPr>
              <w:widowControl/>
              <w:spacing w:line="360" w:lineRule="exact"/>
              <w:jc w:val="center"/>
              <w:rPr>
                <w:rFonts w:ascii="仿宋" w:hAnsi="仿宋" w:eastAsia="仿宋" w:cs="仿宋"/>
                <w:kern w:val="0"/>
                <w:sz w:val="24"/>
              </w:rPr>
            </w:pPr>
          </w:p>
        </w:tc>
        <w:tc>
          <w:tcPr>
            <w:tcW w:w="6599" w:type="dxa"/>
            <w:vAlign w:val="center"/>
          </w:tcPr>
          <w:p>
            <w:pPr>
              <w:pStyle w:val="49"/>
              <w:spacing w:before="43" w:line="360" w:lineRule="auto"/>
              <w:rPr>
                <w:rFonts w:ascii="宋体" w:hAnsi="宋体" w:eastAsia="宋体" w:cs="Times New Roman"/>
                <w:sz w:val="24"/>
                <w:szCs w:val="24"/>
                <w:lang w:val="en-US"/>
              </w:rPr>
            </w:pPr>
            <w:r>
              <w:rPr>
                <w:rFonts w:hint="eastAsia" w:ascii="宋体" w:hAnsi="宋体" w:eastAsia="宋体"/>
                <w:sz w:val="24"/>
                <w:szCs w:val="24"/>
              </w:rPr>
              <w:t>根据各供应商拟派服务人员组成，按人员的数量、执业资格、执业经验等情况进行打分：分值区间1-10分，没有不得分。</w:t>
            </w:r>
          </w:p>
        </w:tc>
        <w:tc>
          <w:tcPr>
            <w:tcW w:w="977" w:type="dxa"/>
            <w:vAlign w:val="center"/>
          </w:tcPr>
          <w:p>
            <w:pPr>
              <w:jc w:val="center"/>
              <w:rPr>
                <w:rFonts w:ascii="Times New Roman" w:hAnsi="Times New Roman"/>
                <w:szCs w:val="21"/>
              </w:rPr>
            </w:pPr>
            <w:r>
              <w:rPr>
                <w:rFonts w:hint="eastAsia" w:ascii="Times New Roman" w:hAnsi="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trPr>
        <w:tc>
          <w:tcPr>
            <w:tcW w:w="1484" w:type="dxa"/>
            <w:vMerge w:val="continue"/>
            <w:vAlign w:val="center"/>
          </w:tcPr>
          <w:p>
            <w:pPr>
              <w:widowControl/>
              <w:spacing w:line="360" w:lineRule="exact"/>
              <w:jc w:val="center"/>
              <w:rPr>
                <w:rFonts w:ascii="仿宋" w:hAnsi="仿宋" w:eastAsia="仿宋" w:cs="仿宋"/>
                <w:kern w:val="0"/>
                <w:sz w:val="24"/>
              </w:rPr>
            </w:pPr>
          </w:p>
        </w:tc>
        <w:tc>
          <w:tcPr>
            <w:tcW w:w="6599" w:type="dxa"/>
            <w:vAlign w:val="center"/>
          </w:tcPr>
          <w:p>
            <w:pPr>
              <w:pStyle w:val="49"/>
              <w:spacing w:before="43" w:line="360" w:lineRule="auto"/>
              <w:rPr>
                <w:rFonts w:ascii="宋体" w:hAnsi="宋体" w:eastAsia="宋体"/>
                <w:sz w:val="24"/>
                <w:szCs w:val="24"/>
              </w:rPr>
            </w:pPr>
            <w:r>
              <w:rPr>
                <w:rFonts w:hint="eastAsia" w:ascii="宋体" w:hAnsi="宋体" w:eastAsia="宋体"/>
                <w:sz w:val="24"/>
                <w:szCs w:val="24"/>
              </w:rPr>
              <w:t>医院等级为三级甲等的得5分。</w:t>
            </w:r>
          </w:p>
        </w:tc>
        <w:tc>
          <w:tcPr>
            <w:tcW w:w="977" w:type="dxa"/>
            <w:vAlign w:val="center"/>
          </w:tcPr>
          <w:p>
            <w:pPr>
              <w:jc w:val="center"/>
              <w:rPr>
                <w:rFonts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7" w:hRule="atLeast"/>
        </w:trPr>
        <w:tc>
          <w:tcPr>
            <w:tcW w:w="1484" w:type="dxa"/>
            <w:vMerge w:val="continue"/>
            <w:vAlign w:val="center"/>
          </w:tcPr>
          <w:p>
            <w:pPr>
              <w:widowControl/>
              <w:spacing w:line="360" w:lineRule="exact"/>
              <w:jc w:val="center"/>
              <w:rPr>
                <w:rFonts w:ascii="仿宋" w:hAnsi="仿宋" w:eastAsia="仿宋" w:cs="仿宋"/>
                <w:kern w:val="0"/>
                <w:sz w:val="24"/>
              </w:rPr>
            </w:pPr>
          </w:p>
        </w:tc>
        <w:tc>
          <w:tcPr>
            <w:tcW w:w="6599" w:type="dxa"/>
            <w:vAlign w:val="center"/>
          </w:tcPr>
          <w:p>
            <w:pPr>
              <w:widowControl/>
              <w:spacing w:line="360" w:lineRule="auto"/>
              <w:rPr>
                <w:rFonts w:ascii="宋体" w:hAnsi="宋体" w:eastAsia="宋体" w:cs="仿宋"/>
                <w:kern w:val="0"/>
                <w:sz w:val="24"/>
                <w:szCs w:val="24"/>
              </w:rPr>
            </w:pPr>
            <w:r>
              <w:rPr>
                <w:rFonts w:hint="eastAsia" w:ascii="宋体" w:hAnsi="宋体" w:eastAsia="宋体" w:cs="仿宋"/>
                <w:kern w:val="0"/>
                <w:sz w:val="24"/>
                <w:szCs w:val="24"/>
              </w:rPr>
              <w:t>投标文件规范程度:1、装订规范、文字清晰、无差错、所提供资料准确完整得2分，否则不得分。</w:t>
            </w:r>
          </w:p>
          <w:p>
            <w:pPr>
              <w:widowControl/>
              <w:spacing w:line="360" w:lineRule="auto"/>
              <w:jc w:val="left"/>
              <w:rPr>
                <w:rFonts w:ascii="宋体" w:hAnsi="宋体" w:eastAsia="宋体" w:cs="仿宋"/>
                <w:kern w:val="0"/>
                <w:sz w:val="24"/>
                <w:szCs w:val="24"/>
              </w:rPr>
            </w:pPr>
            <w:r>
              <w:rPr>
                <w:rFonts w:hint="eastAsia" w:ascii="宋体" w:hAnsi="宋体" w:eastAsia="宋体" w:cs="仿宋"/>
                <w:kern w:val="0"/>
                <w:sz w:val="24"/>
                <w:szCs w:val="24"/>
              </w:rPr>
              <w:t>2、投标文件规范程度，条理清晰程度1-3分。</w:t>
            </w:r>
          </w:p>
        </w:tc>
        <w:tc>
          <w:tcPr>
            <w:tcW w:w="977" w:type="dxa"/>
            <w:vAlign w:val="center"/>
          </w:tcPr>
          <w:p>
            <w:pPr>
              <w:jc w:val="center"/>
              <w:rPr>
                <w:rFonts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7" w:hRule="atLeast"/>
        </w:trPr>
        <w:tc>
          <w:tcPr>
            <w:tcW w:w="1484" w:type="dxa"/>
            <w:vMerge w:val="continue"/>
            <w:vAlign w:val="center"/>
          </w:tcPr>
          <w:p>
            <w:pPr>
              <w:widowControl/>
              <w:spacing w:line="360" w:lineRule="exact"/>
              <w:jc w:val="center"/>
              <w:rPr>
                <w:rFonts w:ascii="仿宋" w:hAnsi="仿宋" w:eastAsia="仿宋" w:cs="仿宋"/>
                <w:kern w:val="0"/>
                <w:sz w:val="24"/>
              </w:rPr>
            </w:pPr>
          </w:p>
        </w:tc>
        <w:tc>
          <w:tcPr>
            <w:tcW w:w="6599" w:type="dxa"/>
            <w:vAlign w:val="center"/>
          </w:tcPr>
          <w:p>
            <w:pPr>
              <w:widowControl/>
              <w:spacing w:line="360" w:lineRule="auto"/>
              <w:jc w:val="left"/>
              <w:rPr>
                <w:rFonts w:ascii="宋体" w:hAnsi="宋体" w:eastAsia="宋体" w:cs="仿宋"/>
                <w:kern w:val="0"/>
                <w:sz w:val="24"/>
                <w:szCs w:val="24"/>
              </w:rPr>
            </w:pPr>
            <w:r>
              <w:rPr>
                <w:rFonts w:hint="eastAsia" w:ascii="宋体" w:hAnsi="宋体" w:eastAsia="宋体" w:cs="仿宋"/>
                <w:kern w:val="0"/>
                <w:sz w:val="24"/>
                <w:szCs w:val="24"/>
              </w:rPr>
              <w:t>服务承诺:根据本项目的工作内容，制定服务承诺。根据承诺内容分档打分。（好：10分；较好：5分；一般：3分；无此内容不得分。）</w:t>
            </w:r>
          </w:p>
        </w:tc>
        <w:tc>
          <w:tcPr>
            <w:tcW w:w="977" w:type="dxa"/>
            <w:vAlign w:val="center"/>
          </w:tcPr>
          <w:p>
            <w:pPr>
              <w:jc w:val="center"/>
              <w:rPr>
                <w:rFonts w:ascii="Times New Roman" w:hAnsi="Times New Roman"/>
                <w:szCs w:val="21"/>
              </w:rPr>
            </w:pPr>
            <w:r>
              <w:rPr>
                <w:rFonts w:hint="eastAsia" w:ascii="Times New Roman" w:hAnsi="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9060" w:type="dxa"/>
            <w:gridSpan w:val="3"/>
            <w:vAlign w:val="center"/>
          </w:tcPr>
          <w:p>
            <w:pPr>
              <w:widowControl/>
              <w:jc w:val="center"/>
            </w:pPr>
            <w:r>
              <w:rPr>
                <w:rFonts w:hint="eastAsia" w:ascii="仿宋" w:hAnsi="仿宋" w:eastAsia="仿宋" w:cs="仿宋"/>
                <w:b/>
                <w:kern w:val="0"/>
                <w:sz w:val="24"/>
              </w:rPr>
              <w:t>三、技术部分（满分</w:t>
            </w:r>
            <w:r>
              <w:rPr>
                <w:rFonts w:hint="eastAsia" w:ascii="仿宋" w:hAnsi="仿宋" w:eastAsia="仿宋" w:cs="仿宋"/>
                <w:b/>
                <w:kern w:val="0"/>
                <w:sz w:val="24"/>
                <w:u w:val="single"/>
              </w:rPr>
              <w:t>30</w:t>
            </w:r>
            <w:r>
              <w:rPr>
                <w:rFonts w:hint="eastAsia" w:ascii="仿宋" w:hAnsi="仿宋" w:eastAsia="仿宋" w:cs="仿宋"/>
                <w:b/>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84" w:type="dxa"/>
            <w:vAlign w:val="center"/>
          </w:tcPr>
          <w:p>
            <w:pPr>
              <w:widowControl/>
              <w:jc w:val="center"/>
            </w:pPr>
            <w:r>
              <w:rPr>
                <w:rFonts w:hint="eastAsia" w:ascii="仿宋" w:hAnsi="仿宋" w:eastAsia="仿宋" w:cs="仿宋"/>
                <w:b/>
                <w:kern w:val="0"/>
                <w:sz w:val="24"/>
              </w:rPr>
              <w:t>评分因素</w:t>
            </w:r>
          </w:p>
        </w:tc>
        <w:tc>
          <w:tcPr>
            <w:tcW w:w="6599" w:type="dxa"/>
            <w:vAlign w:val="center"/>
          </w:tcPr>
          <w:p>
            <w:pPr>
              <w:widowControl/>
              <w:jc w:val="center"/>
            </w:pPr>
            <w:r>
              <w:rPr>
                <w:rFonts w:hint="eastAsia" w:ascii="仿宋" w:hAnsi="仿宋" w:eastAsia="仿宋" w:cs="仿宋"/>
                <w:b/>
                <w:kern w:val="0"/>
                <w:sz w:val="24"/>
              </w:rPr>
              <w:t>评分标准</w:t>
            </w:r>
          </w:p>
        </w:tc>
        <w:tc>
          <w:tcPr>
            <w:tcW w:w="977" w:type="dxa"/>
            <w:vAlign w:val="center"/>
          </w:tcPr>
          <w:p>
            <w:pPr>
              <w:widowControl/>
              <w:jc w:val="center"/>
            </w:pPr>
            <w:r>
              <w:rPr>
                <w:rFonts w:hint="eastAsia" w:ascii="仿宋" w:hAnsi="仿宋" w:eastAsia="仿宋" w:cs="仿宋"/>
                <w:b/>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84" w:type="dxa"/>
            <w:vMerge w:val="restart"/>
            <w:vAlign w:val="center"/>
          </w:tcPr>
          <w:p>
            <w:pPr>
              <w:widowControl/>
              <w:jc w:val="center"/>
              <w:rPr>
                <w:rFonts w:ascii="仿宋" w:hAnsi="仿宋" w:eastAsia="仿宋" w:cs="仿宋"/>
                <w:b/>
                <w:kern w:val="0"/>
                <w:sz w:val="24"/>
              </w:rPr>
            </w:pPr>
            <w:r>
              <w:rPr>
                <w:rFonts w:hint="eastAsia" w:ascii="仿宋" w:hAnsi="仿宋" w:eastAsia="仿宋" w:cs="仿宋"/>
                <w:b/>
                <w:kern w:val="0"/>
                <w:sz w:val="24"/>
              </w:rPr>
              <w:t>技术部分</w:t>
            </w:r>
            <w:r>
              <w:rPr>
                <w:rFonts w:hint="eastAsia" w:ascii="Times New Roman" w:hAnsi="Times New Roman"/>
                <w:b/>
                <w:sz w:val="24"/>
                <w:szCs w:val="24"/>
              </w:rPr>
              <w:t>评审30分</w:t>
            </w:r>
          </w:p>
        </w:tc>
        <w:tc>
          <w:tcPr>
            <w:tcW w:w="6599" w:type="dxa"/>
            <w:vAlign w:val="center"/>
          </w:tcPr>
          <w:p>
            <w:pPr>
              <w:widowControl/>
              <w:spacing w:line="360" w:lineRule="auto"/>
              <w:jc w:val="left"/>
              <w:rPr>
                <w:rFonts w:ascii="宋体" w:hAnsi="宋体" w:eastAsia="宋体" w:cs="仿宋"/>
                <w:kern w:val="0"/>
                <w:sz w:val="24"/>
                <w:szCs w:val="24"/>
              </w:rPr>
            </w:pPr>
            <w:r>
              <w:rPr>
                <w:rFonts w:hint="eastAsia" w:ascii="宋体" w:hAnsi="宋体" w:eastAsia="宋体" w:cs="仿宋"/>
                <w:kern w:val="0"/>
                <w:sz w:val="24"/>
                <w:szCs w:val="24"/>
              </w:rPr>
              <w:t>项目实施工作计划安排：整体及阶段计划明确，安排合理，满足要求等情况进行打分：分值区间1-15分，没有不得分。</w:t>
            </w:r>
          </w:p>
        </w:tc>
        <w:tc>
          <w:tcPr>
            <w:tcW w:w="977" w:type="dxa"/>
            <w:vAlign w:val="center"/>
          </w:tcPr>
          <w:p>
            <w:pPr>
              <w:jc w:val="center"/>
              <w:rPr>
                <w:rFonts w:ascii="Times New Roman" w:hAnsi="Times New Roman"/>
                <w:szCs w:val="21"/>
              </w:rPr>
            </w:pPr>
            <w:r>
              <w:rPr>
                <w:rFonts w:hint="eastAsia" w:ascii="Times New Roman" w:hAnsi="Times New Roman"/>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5" w:hRule="atLeast"/>
        </w:trPr>
        <w:tc>
          <w:tcPr>
            <w:tcW w:w="1484" w:type="dxa"/>
            <w:vMerge w:val="continue"/>
            <w:vAlign w:val="center"/>
          </w:tcPr>
          <w:p>
            <w:pPr>
              <w:jc w:val="center"/>
              <w:rPr>
                <w:rFonts w:ascii="仿宋" w:hAnsi="仿宋" w:eastAsia="仿宋" w:cs="仿宋"/>
                <w:kern w:val="0"/>
                <w:sz w:val="24"/>
              </w:rPr>
            </w:pPr>
          </w:p>
        </w:tc>
        <w:tc>
          <w:tcPr>
            <w:tcW w:w="6599" w:type="dxa"/>
            <w:vAlign w:val="center"/>
          </w:tcPr>
          <w:p>
            <w:pPr>
              <w:widowControl/>
              <w:spacing w:line="360" w:lineRule="auto"/>
              <w:jc w:val="left"/>
              <w:rPr>
                <w:rFonts w:ascii="宋体" w:hAnsi="宋体" w:eastAsia="宋体" w:cs="仿宋"/>
                <w:kern w:val="0"/>
                <w:sz w:val="24"/>
                <w:szCs w:val="24"/>
              </w:rPr>
            </w:pPr>
            <w:r>
              <w:rPr>
                <w:rFonts w:hint="eastAsia" w:ascii="宋体" w:hAnsi="宋体" w:eastAsia="宋体" w:cs="仿宋"/>
                <w:kern w:val="0"/>
                <w:sz w:val="24"/>
                <w:szCs w:val="24"/>
              </w:rPr>
              <w:t>项目实施内容方案（含体检分类分项内容及设备配置），根据方案介绍内容是否详尽、准确、全面及内容是否完整、合理等情况进行打分：分值区间1-15分，没有不得分。</w:t>
            </w:r>
          </w:p>
        </w:tc>
        <w:tc>
          <w:tcPr>
            <w:tcW w:w="977" w:type="dxa"/>
            <w:vAlign w:val="center"/>
          </w:tcPr>
          <w:p>
            <w:pPr>
              <w:jc w:val="center"/>
              <w:rPr>
                <w:rFonts w:ascii="Times New Roman" w:hAnsi="Times New Roman"/>
                <w:szCs w:val="21"/>
              </w:rPr>
            </w:pPr>
            <w:r>
              <w:rPr>
                <w:rFonts w:hint="eastAsia" w:ascii="Times New Roman" w:hAnsi="Times New Roman"/>
                <w:szCs w:val="21"/>
              </w:rPr>
              <w:t>15</w:t>
            </w:r>
          </w:p>
        </w:tc>
      </w:tr>
    </w:tbl>
    <w:p>
      <w:pPr>
        <w:pStyle w:val="8"/>
        <w:spacing w:line="360" w:lineRule="auto"/>
        <w:ind w:firstLine="482" w:firstLineChars="200"/>
        <w:contextualSpacing/>
        <w:rPr>
          <w:rFonts w:ascii="宋体" w:hAnsi="宋体" w:eastAsia="宋体" w:cs="仿宋_GB2312"/>
          <w:b/>
          <w:szCs w:val="24"/>
          <w:lang w:val="zh-CN"/>
        </w:rPr>
      </w:pPr>
    </w:p>
    <w:p>
      <w:pPr>
        <w:spacing w:line="360" w:lineRule="auto"/>
        <w:rPr>
          <w:rFonts w:ascii="宋体" w:hAnsi="宋体"/>
          <w:bCs/>
          <w:sz w:val="24"/>
          <w:szCs w:val="24"/>
          <w:lang w:val="en-GB"/>
        </w:rPr>
      </w:pPr>
      <w:r>
        <w:rPr>
          <w:rFonts w:hint="eastAsia" w:ascii="宋体" w:hAnsi="宋体"/>
          <w:bCs/>
          <w:sz w:val="24"/>
          <w:szCs w:val="24"/>
          <w:lang w:val="en-GB"/>
        </w:rPr>
        <w:t>备注：</w:t>
      </w:r>
    </w:p>
    <w:p>
      <w:pPr>
        <w:spacing w:line="360" w:lineRule="auto"/>
        <w:ind w:firstLine="480" w:firstLineChars="200"/>
        <w:rPr>
          <w:rFonts w:ascii="宋体" w:hAnsi="宋体"/>
          <w:bCs/>
          <w:sz w:val="24"/>
          <w:szCs w:val="24"/>
          <w:lang w:val="en-GB"/>
        </w:rPr>
      </w:pPr>
      <w:r>
        <w:rPr>
          <w:rFonts w:hint="eastAsia" w:ascii="宋体" w:hAnsi="宋体" w:cs="仿宋_GB2312"/>
          <w:sz w:val="24"/>
          <w:szCs w:val="24"/>
        </w:rPr>
        <w:t>对供应商挂靠借用资质、提供虚假业绩、证书投标行为，一经发现，将按照相关法律给与处罚及进入黑名单，并予以公示。</w:t>
      </w:r>
    </w:p>
    <w:p>
      <w:pPr>
        <w:pStyle w:val="8"/>
        <w:spacing w:line="360" w:lineRule="auto"/>
        <w:ind w:firstLine="482" w:firstLineChars="200"/>
        <w:contextualSpacing/>
        <w:rPr>
          <w:rFonts w:ascii="宋体" w:hAnsi="宋体" w:eastAsia="宋体" w:cs="仿宋_GB2312"/>
          <w:szCs w:val="24"/>
          <w:lang w:val="zh-CN"/>
        </w:rPr>
      </w:pPr>
      <w:r>
        <w:rPr>
          <w:rFonts w:hint="eastAsia" w:ascii="宋体" w:hAnsi="宋体" w:eastAsia="宋体" w:cs="仿宋_GB2312"/>
          <w:b/>
          <w:szCs w:val="24"/>
          <w:lang w:val="zh-CN"/>
        </w:rPr>
        <w:t>（3）</w:t>
      </w:r>
      <w:r>
        <w:rPr>
          <w:rFonts w:ascii="宋体" w:hAnsi="宋体" w:eastAsia="宋体" w:cs="仿宋_GB2312"/>
          <w:b/>
          <w:szCs w:val="24"/>
          <w:lang w:val="zh-CN"/>
        </w:rPr>
        <w:t>评标结果汇总完成后，除下列情形外，任何人不得修改评标结果：</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 xml:space="preserve">1） </w:t>
      </w:r>
      <w:r>
        <w:rPr>
          <w:rFonts w:ascii="宋体" w:hAnsi="宋体" w:cs="仿宋_GB2312"/>
          <w:sz w:val="24"/>
          <w:szCs w:val="24"/>
          <w:lang w:val="zh-CN"/>
        </w:rPr>
        <w:t>分值汇总计算错误的；</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 xml:space="preserve">2） </w:t>
      </w:r>
      <w:r>
        <w:rPr>
          <w:rFonts w:ascii="宋体" w:hAnsi="宋体" w:cs="仿宋_GB2312"/>
          <w:sz w:val="24"/>
          <w:szCs w:val="24"/>
          <w:lang w:val="zh-CN"/>
        </w:rPr>
        <w:t>分项评分超出评分标准范围的；</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 xml:space="preserve">3） </w:t>
      </w:r>
      <w:r>
        <w:rPr>
          <w:rFonts w:ascii="宋体" w:hAnsi="宋体" w:cs="仿宋_GB2312"/>
          <w:sz w:val="24"/>
          <w:szCs w:val="24"/>
          <w:lang w:val="zh-CN"/>
        </w:rPr>
        <w:t>评标委员会成员对客观评审因素评分不一致的；</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 xml:space="preserve">4） </w:t>
      </w:r>
      <w:r>
        <w:rPr>
          <w:rFonts w:ascii="宋体" w:hAnsi="宋体" w:cs="仿宋_GB2312"/>
          <w:sz w:val="24"/>
          <w:szCs w:val="24"/>
          <w:lang w:val="zh-CN"/>
        </w:rPr>
        <w:t>经评标委员会认定评分畸高、畸低的。</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ascii="宋体" w:hAnsi="宋体" w:cs="仿宋_GB2312"/>
          <w:sz w:val="24"/>
          <w:szCs w:val="24"/>
          <w:lang w:val="zh-CN"/>
        </w:rPr>
        <w:t>评标报告签署前，经复核发现存在以上情形之一的，评标委员会应当当场修改评标结果，并在评标报告中记载；评标报告签署后，采购人或者采购代理机构发现存在以上情形之一的，应当组织原评标委员会进行重新评审，重新评审改变评标结果的，书面报告本级财政部门。</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供应商</w:t>
      </w:r>
      <w:r>
        <w:rPr>
          <w:rFonts w:ascii="宋体" w:hAnsi="宋体" w:cs="仿宋_GB2312"/>
          <w:sz w:val="24"/>
          <w:szCs w:val="24"/>
          <w:lang w:val="zh-CN"/>
        </w:rPr>
        <w:t>对本条第一款情形提出质疑的，采购人或者采购代理机构可以组织原评标委员会进行重新评审，重新评审改变评标结果的，应当书面报告本级财政部门。</w:t>
      </w:r>
    </w:p>
    <w:p>
      <w:pPr>
        <w:tabs>
          <w:tab w:val="left" w:pos="1260"/>
        </w:tabs>
        <w:autoSpaceDE w:val="0"/>
        <w:autoSpaceDN w:val="0"/>
        <w:spacing w:line="360" w:lineRule="auto"/>
        <w:ind w:firstLine="482" w:firstLineChars="200"/>
        <w:contextualSpacing/>
        <w:rPr>
          <w:rFonts w:ascii="宋体" w:hAnsi="宋体" w:cs="仿宋_GB2312"/>
          <w:b/>
          <w:sz w:val="24"/>
          <w:szCs w:val="24"/>
          <w:lang w:val="zh-CN"/>
        </w:rPr>
      </w:pPr>
      <w:r>
        <w:rPr>
          <w:rFonts w:hint="eastAsia" w:ascii="宋体" w:hAnsi="宋体" w:cs="仿宋_GB2312"/>
          <w:b/>
          <w:sz w:val="24"/>
          <w:szCs w:val="24"/>
          <w:lang w:val="zh-CN"/>
        </w:rPr>
        <w:t>（4）</w:t>
      </w:r>
      <w:r>
        <w:rPr>
          <w:rFonts w:ascii="宋体" w:hAnsi="宋体" w:cs="仿宋_GB2312"/>
          <w:b/>
          <w:sz w:val="24"/>
          <w:szCs w:val="24"/>
          <w:lang w:val="zh-CN"/>
        </w:rPr>
        <w:t>评标委员会</w:t>
      </w:r>
      <w:r>
        <w:rPr>
          <w:rFonts w:hint="eastAsia" w:ascii="宋体" w:hAnsi="宋体" w:cs="仿宋_GB2312"/>
          <w:b/>
          <w:sz w:val="24"/>
          <w:szCs w:val="24"/>
          <w:lang w:val="zh-CN"/>
        </w:rPr>
        <w:t>争议处理</w:t>
      </w:r>
    </w:p>
    <w:p>
      <w:pPr>
        <w:tabs>
          <w:tab w:val="left" w:pos="1260"/>
        </w:tabs>
        <w:autoSpaceDE w:val="0"/>
        <w:autoSpaceDN w:val="0"/>
        <w:spacing w:line="360" w:lineRule="auto"/>
        <w:ind w:firstLine="480" w:firstLineChars="200"/>
        <w:contextualSpacing/>
        <w:rPr>
          <w:rFonts w:ascii="宋体" w:hAnsi="宋体" w:cs="仿宋_GB2312"/>
          <w:sz w:val="24"/>
          <w:szCs w:val="24"/>
          <w:lang w:val="zh-CN"/>
        </w:rPr>
      </w:pPr>
      <w:r>
        <w:rPr>
          <w:rFonts w:ascii="宋体" w:hAnsi="宋体" w:cs="仿宋_GB2312"/>
          <w:sz w:val="24"/>
          <w:szCs w:val="24"/>
          <w:lang w:val="zh-CN"/>
        </w:rPr>
        <w:t>评标委员会成员对需要共同认定的事项存在争议的，应当按照少数服从多数的原则作出结论。持不同意见的评标委员会成员应当在评标报告上签署不同意见及理由，否则视为同意评标报告。</w:t>
      </w:r>
    </w:p>
    <w:p>
      <w:pPr>
        <w:spacing w:line="360" w:lineRule="auto"/>
        <w:ind w:firstLine="482" w:firstLineChars="200"/>
        <w:contextualSpacing/>
        <w:rPr>
          <w:rFonts w:ascii="宋体" w:hAnsi="宋体" w:cs="仿宋_GB2312"/>
          <w:b/>
          <w:sz w:val="24"/>
          <w:szCs w:val="24"/>
          <w:lang w:val="zh-CN"/>
        </w:rPr>
      </w:pPr>
      <w:r>
        <w:rPr>
          <w:rFonts w:hint="eastAsia" w:ascii="宋体" w:hAnsi="宋体" w:cs="仿宋_GB2312"/>
          <w:b/>
          <w:sz w:val="24"/>
          <w:szCs w:val="24"/>
          <w:lang w:val="zh-CN"/>
        </w:rPr>
        <w:t>4、</w:t>
      </w:r>
      <w:r>
        <w:rPr>
          <w:rFonts w:ascii="宋体" w:hAnsi="宋体" w:cs="仿宋_GB2312"/>
          <w:b/>
          <w:sz w:val="24"/>
          <w:szCs w:val="24"/>
          <w:lang w:val="zh-CN"/>
        </w:rPr>
        <w:t>确定</w:t>
      </w:r>
      <w:r>
        <w:rPr>
          <w:rFonts w:hint="eastAsia" w:ascii="宋体" w:hAnsi="宋体" w:cs="仿宋_GB2312"/>
          <w:b/>
          <w:sz w:val="24"/>
          <w:szCs w:val="24"/>
          <w:lang w:val="zh-CN"/>
        </w:rPr>
        <w:t>入库</w:t>
      </w:r>
      <w:r>
        <w:rPr>
          <w:rFonts w:ascii="宋体" w:hAnsi="宋体" w:cs="仿宋_GB2312"/>
          <w:b/>
          <w:sz w:val="24"/>
          <w:szCs w:val="24"/>
          <w:lang w:val="zh-CN"/>
        </w:rPr>
        <w:t>候选人名单，以及根据采购人委托直接确定</w:t>
      </w:r>
      <w:r>
        <w:rPr>
          <w:rFonts w:hint="eastAsia" w:ascii="宋体" w:hAnsi="宋体" w:cs="仿宋_GB2312"/>
          <w:b/>
          <w:sz w:val="24"/>
          <w:szCs w:val="24"/>
          <w:lang w:val="zh-CN"/>
        </w:rPr>
        <w:t>中标人。</w:t>
      </w:r>
    </w:p>
    <w:bookmarkEnd w:id="3"/>
    <w:p>
      <w:pPr>
        <w:widowControl/>
        <w:jc w:val="left"/>
        <w:rPr>
          <w:rFonts w:ascii="宋体" w:hAnsi="宋体" w:eastAsia="宋体" w:cs="宋体"/>
          <w:b/>
          <w:kern w:val="0"/>
          <w:sz w:val="36"/>
          <w:szCs w:val="36"/>
        </w:rPr>
      </w:pPr>
      <w:r>
        <w:rPr>
          <w:rFonts w:ascii="宋体" w:hAnsi="宋体" w:eastAsia="宋体" w:cs="宋体"/>
          <w:b/>
          <w:kern w:val="0"/>
          <w:sz w:val="36"/>
          <w:szCs w:val="36"/>
        </w:rPr>
        <w:br w:type="page"/>
      </w:r>
    </w:p>
    <w:p>
      <w:pPr>
        <w:tabs>
          <w:tab w:val="left" w:pos="1260"/>
        </w:tabs>
        <w:autoSpaceDE w:val="0"/>
        <w:autoSpaceDN w:val="0"/>
        <w:adjustRightInd w:val="0"/>
        <w:spacing w:line="360" w:lineRule="auto"/>
        <w:contextualSpacing/>
        <w:jc w:val="center"/>
        <w:outlineLvl w:val="0"/>
        <w:rPr>
          <w:sz w:val="44"/>
          <w:szCs w:val="44"/>
        </w:rPr>
      </w:pPr>
      <w:r>
        <w:rPr>
          <w:rFonts w:hint="eastAsia"/>
          <w:sz w:val="44"/>
          <w:szCs w:val="44"/>
        </w:rPr>
        <w:t>第六章  合同条款及格式</w:t>
      </w:r>
    </w:p>
    <w:p>
      <w:pPr>
        <w:tabs>
          <w:tab w:val="left" w:pos="2460"/>
        </w:tabs>
        <w:spacing w:line="360" w:lineRule="auto"/>
        <w:jc w:val="center"/>
        <w:rPr>
          <w:b/>
          <w:sz w:val="28"/>
          <w:szCs w:val="28"/>
        </w:rPr>
      </w:pPr>
      <w:r>
        <w:rPr>
          <w:rFonts w:hint="eastAsia"/>
          <w:b/>
          <w:sz w:val="28"/>
          <w:szCs w:val="28"/>
        </w:rPr>
        <w:t>（仅供参考）</w:t>
      </w:r>
    </w:p>
    <w:p>
      <w:pPr>
        <w:jc w:val="center"/>
        <w:rPr>
          <w:b/>
          <w:sz w:val="36"/>
        </w:rPr>
      </w:pPr>
      <w:r>
        <w:rPr>
          <w:rFonts w:hint="eastAsia"/>
          <w:b/>
          <w:sz w:val="36"/>
        </w:rPr>
        <w:t>协议范本</w:t>
      </w:r>
    </w:p>
    <w:p/>
    <w:p>
      <w:pPr>
        <w:spacing w:line="360" w:lineRule="auto"/>
        <w:rPr>
          <w:rFonts w:ascii="宋体" w:hAnsi="宋体"/>
          <w:sz w:val="24"/>
        </w:rPr>
      </w:pPr>
      <w:r>
        <w:rPr>
          <w:rFonts w:ascii="宋体" w:hAnsi="宋体"/>
          <w:b/>
          <w:sz w:val="24"/>
        </w:rPr>
        <w:t>合同编号:</w:t>
      </w:r>
      <w:r>
        <w:rPr>
          <w:rFonts w:hint="eastAsia" w:ascii="宋体" w:hAnsi="宋体"/>
          <w:b/>
          <w:sz w:val="24"/>
        </w:rPr>
        <w:t>xxxx</w:t>
      </w:r>
      <w:r>
        <w:rPr>
          <w:rFonts w:hint="eastAsia" w:ascii="宋体" w:hAnsi="宋体"/>
          <w:sz w:val="24"/>
        </w:rPr>
        <w:t xml:space="preserve">（销）    </w:t>
      </w:r>
      <w:r>
        <w:rPr>
          <w:rFonts w:ascii="宋体" w:hAnsi="宋体"/>
          <w:sz w:val="24"/>
        </w:rPr>
        <w:t>号</w:t>
      </w:r>
    </w:p>
    <w:p>
      <w:pPr>
        <w:spacing w:line="360" w:lineRule="auto"/>
        <w:rPr>
          <w:rFonts w:ascii="宋体" w:hAnsi="宋体"/>
          <w:b/>
          <w:sz w:val="24"/>
        </w:rPr>
      </w:pPr>
      <w:r>
        <w:rPr>
          <w:rFonts w:hint="eastAsia" w:ascii="宋体" w:hAnsi="宋体"/>
          <w:b/>
          <w:sz w:val="24"/>
        </w:rPr>
        <w:t>甲方：</w:t>
      </w:r>
      <w:r>
        <w:rPr>
          <w:rFonts w:hint="eastAsia" w:ascii="宋体" w:hAnsi="宋体"/>
          <w:sz w:val="24"/>
        </w:rPr>
        <w:t>中国邮政储蓄银行股份有限公司许昌市分行</w:t>
      </w:r>
    </w:p>
    <w:p>
      <w:pPr>
        <w:spacing w:line="360" w:lineRule="auto"/>
        <w:rPr>
          <w:rFonts w:ascii="宋体" w:hAnsi="宋体"/>
          <w:b/>
          <w:sz w:val="24"/>
        </w:rPr>
      </w:pPr>
      <w:r>
        <w:rPr>
          <w:rFonts w:hint="eastAsia" w:ascii="宋体" w:hAnsi="宋体"/>
          <w:b/>
          <w:sz w:val="24"/>
        </w:rPr>
        <w:t>乙方：xxxxxx</w:t>
      </w:r>
      <w:r>
        <w:rPr>
          <w:rFonts w:hint="eastAsia" w:ascii="宋体" w:hAnsi="宋体"/>
          <w:sz w:val="24"/>
        </w:rPr>
        <w:t>医院</w:t>
      </w:r>
    </w:p>
    <w:p>
      <w:pPr>
        <w:spacing w:line="360" w:lineRule="auto"/>
        <w:ind w:firstLine="480" w:firstLineChars="200"/>
        <w:rPr>
          <w:rFonts w:ascii="宋体" w:hAnsi="宋体"/>
          <w:sz w:val="24"/>
        </w:rPr>
      </w:pPr>
      <w:r>
        <w:rPr>
          <w:rFonts w:hint="eastAsia" w:ascii="宋体" w:hAnsi="宋体"/>
          <w:sz w:val="24"/>
        </w:rPr>
        <w:t>经甲乙双方充分协商同意，就甲方</w:t>
      </w:r>
      <w:r>
        <w:rPr>
          <w:rFonts w:hint="eastAsia" w:ascii="宋体" w:hAnsi="宋体"/>
          <w:sz w:val="24"/>
          <w:u w:val="single"/>
        </w:rPr>
        <w:t>20xx</w:t>
      </w:r>
      <w:r>
        <w:rPr>
          <w:rFonts w:hint="eastAsia" w:ascii="宋体" w:hAnsi="宋体"/>
          <w:sz w:val="24"/>
        </w:rPr>
        <w:t>年</w:t>
      </w:r>
      <w:r>
        <w:rPr>
          <w:rFonts w:hint="eastAsia" w:ascii="宋体" w:hAnsi="宋体"/>
          <w:sz w:val="24"/>
          <w:u w:val="single"/>
        </w:rPr>
        <w:t xml:space="preserve"> 员工体检 </w:t>
      </w:r>
      <w:r>
        <w:rPr>
          <w:rFonts w:hint="eastAsia" w:ascii="宋体" w:hAnsi="宋体"/>
          <w:sz w:val="24"/>
        </w:rPr>
        <w:t>项目签订本合同。</w:t>
      </w:r>
      <w:r>
        <w:rPr>
          <w:rFonts w:hint="eastAsia" w:ascii="宋体" w:hAnsi="宋体"/>
          <w:bCs/>
          <w:sz w:val="24"/>
        </w:rPr>
        <w:t>甲方按以下项目在乙方医院进行体检</w:t>
      </w:r>
      <w:r>
        <w:rPr>
          <w:rFonts w:hint="eastAsia" w:ascii="宋体" w:hAnsi="宋体"/>
          <w:sz w:val="24"/>
        </w:rPr>
        <w:t>。</w:t>
      </w:r>
    </w:p>
    <w:p>
      <w:pPr>
        <w:numPr>
          <w:ilvl w:val="0"/>
          <w:numId w:val="3"/>
        </w:numPr>
        <w:spacing w:line="360" w:lineRule="auto"/>
        <w:rPr>
          <w:rFonts w:ascii="宋体" w:hAnsi="宋体"/>
          <w:sz w:val="24"/>
        </w:rPr>
      </w:pPr>
      <w:r>
        <w:rPr>
          <w:rFonts w:hint="eastAsia" w:ascii="宋体" w:hAnsi="宋体"/>
          <w:sz w:val="24"/>
        </w:rPr>
        <w:t>《体检项目及价格》，见附件一，甲方员工体检按此项目进行。</w:t>
      </w:r>
    </w:p>
    <w:p>
      <w:pPr>
        <w:numPr>
          <w:ilvl w:val="0"/>
          <w:numId w:val="3"/>
        </w:numPr>
        <w:spacing w:line="360" w:lineRule="auto"/>
        <w:rPr>
          <w:rFonts w:ascii="宋体" w:hAnsi="宋体"/>
          <w:sz w:val="24"/>
        </w:rPr>
      </w:pPr>
      <w:r>
        <w:rPr>
          <w:rFonts w:hint="eastAsia" w:ascii="宋体" w:hAnsi="宋体"/>
          <w:sz w:val="24"/>
        </w:rPr>
        <w:t>乙方在体检过程中为每位受检者提供免费营养早餐一份（以附件一为准）。</w:t>
      </w:r>
    </w:p>
    <w:p>
      <w:pPr>
        <w:numPr>
          <w:ilvl w:val="0"/>
          <w:numId w:val="3"/>
        </w:numPr>
        <w:spacing w:line="360" w:lineRule="auto"/>
        <w:rPr>
          <w:rFonts w:ascii="宋体" w:hAnsi="宋体"/>
          <w:sz w:val="24"/>
        </w:rPr>
      </w:pPr>
      <w:r>
        <w:rPr>
          <w:rFonts w:hint="eastAsia" w:ascii="宋体" w:hAnsi="宋体"/>
          <w:sz w:val="24"/>
        </w:rPr>
        <w:t>为保证体检顺利进行，请甲方员工认真阅读注意事项（附件二），并配合乙方各项体检检前、检中和检后的组织工作。</w:t>
      </w:r>
    </w:p>
    <w:p>
      <w:pPr>
        <w:numPr>
          <w:ilvl w:val="0"/>
          <w:numId w:val="4"/>
        </w:numPr>
        <w:spacing w:line="360" w:lineRule="auto"/>
        <w:rPr>
          <w:rFonts w:ascii="宋体" w:hAnsi="宋体"/>
          <w:b/>
          <w:sz w:val="24"/>
        </w:rPr>
      </w:pPr>
      <w:r>
        <w:rPr>
          <w:rFonts w:hint="eastAsia" w:ascii="宋体" w:hAnsi="宋体"/>
          <w:b/>
          <w:bCs/>
          <w:sz w:val="24"/>
        </w:rPr>
        <w:t>体检时间</w:t>
      </w:r>
    </w:p>
    <w:p>
      <w:pPr>
        <w:numPr>
          <w:ilvl w:val="0"/>
          <w:numId w:val="5"/>
        </w:numPr>
        <w:spacing w:line="360" w:lineRule="auto"/>
        <w:rPr>
          <w:rFonts w:ascii="宋体" w:hAnsi="宋体"/>
          <w:sz w:val="24"/>
        </w:rPr>
      </w:pPr>
      <w:r>
        <w:rPr>
          <w:rFonts w:hint="eastAsia" w:ascii="宋体" w:hAnsi="宋体"/>
          <w:sz w:val="24"/>
        </w:rPr>
        <w:t>甲方定于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日至</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日每周一至周六（法定节日除外）前来体检，团体(10人以上)体检前请提前24小时致电预约；</w:t>
      </w:r>
    </w:p>
    <w:p>
      <w:pPr>
        <w:numPr>
          <w:ilvl w:val="0"/>
          <w:numId w:val="5"/>
        </w:numPr>
        <w:spacing w:line="360" w:lineRule="auto"/>
        <w:rPr>
          <w:rFonts w:ascii="宋体" w:hAnsi="宋体"/>
          <w:sz w:val="24"/>
        </w:rPr>
      </w:pPr>
      <w:r>
        <w:rPr>
          <w:rFonts w:hint="eastAsia" w:ascii="宋体" w:hAnsi="宋体"/>
          <w:sz w:val="24"/>
        </w:rPr>
        <w:t>甲乙双方对体检方案有任何变动，需提前24小时告知对方。本次体检内如有特殊情况未能参加的人员，甲方须提前通知乙方，另行安排时间检查。</w:t>
      </w:r>
    </w:p>
    <w:p>
      <w:pPr>
        <w:numPr>
          <w:ilvl w:val="0"/>
          <w:numId w:val="4"/>
        </w:numPr>
        <w:spacing w:line="360" w:lineRule="auto"/>
        <w:rPr>
          <w:rFonts w:ascii="宋体" w:hAnsi="宋体"/>
          <w:b/>
          <w:sz w:val="24"/>
        </w:rPr>
      </w:pPr>
      <w:r>
        <w:rPr>
          <w:rFonts w:hint="eastAsia" w:ascii="宋体" w:hAnsi="宋体"/>
          <w:b/>
          <w:sz w:val="24"/>
        </w:rPr>
        <w:t>费用及付款方式</w:t>
      </w:r>
    </w:p>
    <w:p>
      <w:pPr>
        <w:numPr>
          <w:ilvl w:val="0"/>
          <w:numId w:val="6"/>
        </w:numPr>
        <w:spacing w:line="360" w:lineRule="auto"/>
        <w:rPr>
          <w:rFonts w:ascii="宋体" w:hAnsi="宋体"/>
          <w:sz w:val="24"/>
        </w:rPr>
      </w:pPr>
      <w:r>
        <w:rPr>
          <w:rFonts w:hint="eastAsia" w:ascii="宋体" w:hAnsi="宋体"/>
          <w:sz w:val="24"/>
        </w:rPr>
        <w:t>甲乙双方约定，本次体检费用共计</w:t>
      </w:r>
      <w:r>
        <w:rPr>
          <w:rFonts w:hint="eastAsia" w:ascii="宋体" w:hAnsi="宋体"/>
          <w:sz w:val="24"/>
          <w:u w:val="single"/>
        </w:rPr>
        <w:t xml:space="preserve">        </w:t>
      </w:r>
      <w:r>
        <w:rPr>
          <w:rFonts w:hint="eastAsia" w:ascii="宋体" w:hAnsi="宋体"/>
          <w:sz w:val="24"/>
        </w:rPr>
        <w:t>元（大写：</w:t>
      </w:r>
      <w:r>
        <w:rPr>
          <w:rFonts w:hint="eastAsia" w:ascii="宋体" w:hAnsi="宋体"/>
          <w:sz w:val="24"/>
          <w:u w:val="single"/>
        </w:rPr>
        <w:t xml:space="preserve">            </w:t>
      </w:r>
      <w:r>
        <w:rPr>
          <w:rFonts w:hint="eastAsia" w:ascii="宋体" w:hAnsi="宋体"/>
          <w:sz w:val="24"/>
        </w:rPr>
        <w:t>元）。</w:t>
      </w:r>
    </w:p>
    <w:p>
      <w:pPr>
        <w:numPr>
          <w:ilvl w:val="0"/>
          <w:numId w:val="6"/>
        </w:numPr>
        <w:spacing w:line="360" w:lineRule="auto"/>
        <w:rPr>
          <w:rFonts w:ascii="宋体" w:hAnsi="宋体"/>
          <w:sz w:val="24"/>
        </w:rPr>
      </w:pPr>
      <w:r>
        <w:rPr>
          <w:rFonts w:hint="eastAsia" w:ascii="宋体" w:hAnsi="宋体"/>
          <w:sz w:val="24"/>
        </w:rPr>
        <w:t>甲乙双方合同签订完毕五个工作日内，乙方支付合同约定的全部体检费用的50%，即</w:t>
      </w:r>
      <w:r>
        <w:rPr>
          <w:rFonts w:hint="eastAsia" w:ascii="宋体" w:hAnsi="宋体"/>
          <w:sz w:val="24"/>
          <w:u w:val="single"/>
        </w:rPr>
        <w:t xml:space="preserve">        </w:t>
      </w:r>
      <w:r>
        <w:rPr>
          <w:rFonts w:hint="eastAsia" w:ascii="宋体" w:hAnsi="宋体"/>
          <w:sz w:val="24"/>
        </w:rPr>
        <w:t>元（大写：</w:t>
      </w:r>
      <w:r>
        <w:rPr>
          <w:rFonts w:hint="eastAsia" w:ascii="宋体" w:hAnsi="宋体"/>
          <w:sz w:val="24"/>
          <w:u w:val="single"/>
        </w:rPr>
        <w:t xml:space="preserve">            </w:t>
      </w:r>
      <w:r>
        <w:rPr>
          <w:rFonts w:hint="eastAsia" w:ascii="宋体" w:hAnsi="宋体"/>
          <w:sz w:val="24"/>
        </w:rPr>
        <w:t>元）。</w:t>
      </w:r>
    </w:p>
    <w:p>
      <w:pPr>
        <w:numPr>
          <w:ilvl w:val="0"/>
          <w:numId w:val="6"/>
        </w:numPr>
        <w:spacing w:line="360" w:lineRule="auto"/>
        <w:rPr>
          <w:rFonts w:ascii="宋体" w:hAnsi="宋体"/>
          <w:sz w:val="24"/>
        </w:rPr>
      </w:pPr>
      <w:r>
        <w:rPr>
          <w:rFonts w:hint="eastAsia" w:ascii="宋体" w:hAnsi="宋体"/>
          <w:sz w:val="24"/>
        </w:rPr>
        <w:t>乙方在体检结束后五个工作日内按照甲方实际体检人数核算体检费用，并向甲方开具体检费用的正式发票，甲方在收到发票后五个工作日内付剩余体检费用至乙方指定账户。</w:t>
      </w:r>
    </w:p>
    <w:p>
      <w:pPr>
        <w:numPr>
          <w:ilvl w:val="0"/>
          <w:numId w:val="6"/>
        </w:numPr>
        <w:spacing w:line="360" w:lineRule="auto"/>
        <w:rPr>
          <w:rFonts w:ascii="宋体" w:hAnsi="宋体"/>
          <w:sz w:val="24"/>
        </w:rPr>
      </w:pPr>
      <w:r>
        <w:rPr>
          <w:rFonts w:hint="eastAsia" w:ascii="宋体" w:hAnsi="宋体"/>
          <w:sz w:val="24"/>
        </w:rPr>
        <w:t>若甲方员工在体检过程中，需要增加体检项目（请打√选择）</w:t>
      </w:r>
    </w:p>
    <w:p>
      <w:pPr>
        <w:spacing w:line="360" w:lineRule="auto"/>
        <w:ind w:left="420"/>
        <w:rPr>
          <w:rFonts w:ascii="宋体" w:hAnsi="宋体"/>
          <w:sz w:val="24"/>
        </w:rPr>
      </w:pPr>
      <w:r>
        <w:rPr>
          <w:rFonts w:hint="eastAsia" w:ascii="宋体" w:hAnsi="宋体"/>
          <w:sz w:val="24"/>
        </w:rPr>
        <w:t>□自费</w:t>
      </w:r>
      <w:r>
        <w:rPr>
          <w:rFonts w:hint="eastAsia" w:ascii="宋体" w:hAnsi="宋体"/>
          <w:sz w:val="24"/>
          <w:u w:val="single"/>
        </w:rPr>
        <w:t xml:space="preserve">     </w:t>
      </w:r>
      <w:r>
        <w:rPr>
          <w:rFonts w:hint="eastAsia" w:ascii="宋体" w:hAnsi="宋体"/>
          <w:sz w:val="24"/>
        </w:rPr>
        <w:t>折，</w:t>
      </w:r>
      <w:r>
        <w:rPr>
          <w:rFonts w:hint="eastAsia" w:ascii="宋体" w:hAnsi="宋体"/>
          <w:sz w:val="24"/>
          <w:u w:val="single"/>
        </w:rPr>
        <w:t xml:space="preserve">     </w:t>
      </w:r>
      <w:r>
        <w:rPr>
          <w:rFonts w:hint="eastAsia" w:ascii="宋体" w:hAnsi="宋体"/>
          <w:sz w:val="24"/>
        </w:rPr>
        <w:t>元以下无折扣,由甲方员工本人以现金方式支付。</w:t>
      </w:r>
    </w:p>
    <w:p>
      <w:pPr>
        <w:spacing w:line="360" w:lineRule="auto"/>
        <w:ind w:left="420"/>
        <w:rPr>
          <w:rFonts w:ascii="宋体" w:hAnsi="宋体"/>
          <w:sz w:val="24"/>
        </w:rPr>
      </w:pPr>
      <w:r>
        <w:rPr>
          <w:rFonts w:hint="eastAsia" w:ascii="宋体" w:hAnsi="宋体"/>
          <w:sz w:val="24"/>
        </w:rPr>
        <w:t>□公费</w:t>
      </w:r>
      <w:r>
        <w:rPr>
          <w:rFonts w:hint="eastAsia" w:ascii="宋体" w:hAnsi="宋体"/>
          <w:sz w:val="24"/>
          <w:u w:val="single"/>
        </w:rPr>
        <w:t xml:space="preserve">      </w:t>
      </w:r>
      <w:r>
        <w:rPr>
          <w:rFonts w:hint="eastAsia" w:ascii="宋体" w:hAnsi="宋体"/>
          <w:sz w:val="24"/>
        </w:rPr>
        <w:t>元以下无折扣，</w:t>
      </w:r>
      <w:r>
        <w:rPr>
          <w:rFonts w:hint="eastAsia" w:ascii="宋体" w:hAnsi="宋体"/>
          <w:sz w:val="24"/>
          <w:u w:val="single"/>
        </w:rPr>
        <w:t xml:space="preserve">     </w:t>
      </w:r>
      <w:r>
        <w:rPr>
          <w:rFonts w:hint="eastAsia" w:ascii="宋体" w:hAnsi="宋体"/>
          <w:sz w:val="24"/>
        </w:rPr>
        <w:t>元以上</w:t>
      </w:r>
      <w:r>
        <w:rPr>
          <w:rFonts w:hint="eastAsia" w:ascii="宋体" w:hAnsi="宋体"/>
          <w:sz w:val="24"/>
          <w:u w:val="single"/>
        </w:rPr>
        <w:t xml:space="preserve">    </w:t>
      </w:r>
      <w:r>
        <w:rPr>
          <w:rFonts w:hint="eastAsia" w:ascii="宋体" w:hAnsi="宋体"/>
          <w:sz w:val="24"/>
        </w:rPr>
        <w:t>折，由甲方负责人签字确认后以公费方式支付。</w:t>
      </w:r>
    </w:p>
    <w:p>
      <w:pPr>
        <w:numPr>
          <w:ilvl w:val="0"/>
          <w:numId w:val="6"/>
        </w:numPr>
        <w:spacing w:line="360" w:lineRule="auto"/>
        <w:rPr>
          <w:rFonts w:ascii="宋体" w:hAnsi="宋体"/>
          <w:sz w:val="24"/>
        </w:rPr>
      </w:pPr>
      <w:r>
        <w:rPr>
          <w:rFonts w:hint="eastAsia" w:ascii="宋体" w:hAnsi="宋体"/>
          <w:sz w:val="24"/>
        </w:rPr>
        <w:t>若甲方员工家属同时参加体检，选择</w:t>
      </w:r>
      <w:r>
        <w:rPr>
          <w:rFonts w:hint="eastAsia" w:ascii="宋体" w:hAnsi="宋体"/>
          <w:sz w:val="24"/>
          <w:u w:val="single"/>
        </w:rPr>
        <w:t xml:space="preserve">  自选  </w:t>
      </w:r>
      <w:r>
        <w:rPr>
          <w:rFonts w:hint="eastAsia" w:ascii="宋体" w:hAnsi="宋体"/>
          <w:sz w:val="24"/>
        </w:rPr>
        <w:t>体检项目或</w:t>
      </w:r>
      <w:r>
        <w:rPr>
          <w:rFonts w:hint="eastAsia" w:ascii="宋体" w:hAnsi="宋体"/>
          <w:sz w:val="24"/>
          <w:u w:val="single"/>
        </w:rPr>
        <w:t xml:space="preserve">  单位 </w:t>
      </w:r>
      <w:r>
        <w:rPr>
          <w:rFonts w:hint="eastAsia" w:ascii="宋体" w:hAnsi="宋体"/>
          <w:sz w:val="24"/>
        </w:rPr>
        <w:t>指定套餐，可享受</w:t>
      </w:r>
      <w:r>
        <w:rPr>
          <w:rFonts w:hint="eastAsia" w:ascii="宋体" w:hAnsi="宋体"/>
          <w:sz w:val="24"/>
          <w:u w:val="single"/>
        </w:rPr>
        <w:t xml:space="preserve">   </w:t>
      </w:r>
      <w:r>
        <w:rPr>
          <w:rFonts w:hint="eastAsia" w:ascii="宋体" w:hAnsi="宋体"/>
          <w:sz w:val="24"/>
        </w:rPr>
        <w:t>折/人优惠。若零散在乙方前台办理则按现场套餐或选项销售折扣收费。</w:t>
      </w:r>
    </w:p>
    <w:p>
      <w:pPr>
        <w:numPr>
          <w:ilvl w:val="0"/>
          <w:numId w:val="4"/>
        </w:numPr>
        <w:spacing w:line="360" w:lineRule="auto"/>
        <w:rPr>
          <w:rFonts w:ascii="宋体" w:hAnsi="宋体"/>
          <w:b/>
          <w:sz w:val="24"/>
        </w:rPr>
      </w:pPr>
      <w:r>
        <w:rPr>
          <w:rFonts w:hint="eastAsia" w:ascii="宋体" w:hAnsi="宋体"/>
          <w:b/>
          <w:sz w:val="24"/>
        </w:rPr>
        <w:t>后续增值服务</w:t>
      </w:r>
    </w:p>
    <w:p>
      <w:pPr>
        <w:numPr>
          <w:ilvl w:val="0"/>
          <w:numId w:val="7"/>
        </w:numPr>
        <w:spacing w:line="360" w:lineRule="auto"/>
        <w:rPr>
          <w:rFonts w:ascii="宋体" w:hAnsi="宋体"/>
          <w:sz w:val="24"/>
        </w:rPr>
      </w:pPr>
      <w:r>
        <w:rPr>
          <w:rFonts w:hint="eastAsia" w:ascii="宋体" w:hAnsi="宋体"/>
          <w:sz w:val="24"/>
        </w:rPr>
        <w:t>乙方在甲方员工体检完成后7个工作日内给出总结评估，提出改善建议，出具体检报告。</w:t>
      </w:r>
    </w:p>
    <w:p>
      <w:pPr>
        <w:numPr>
          <w:ilvl w:val="0"/>
          <w:numId w:val="7"/>
        </w:numPr>
        <w:spacing w:line="360" w:lineRule="auto"/>
        <w:rPr>
          <w:rFonts w:ascii="宋体" w:hAnsi="宋体"/>
          <w:sz w:val="24"/>
        </w:rPr>
      </w:pPr>
      <w:r>
        <w:rPr>
          <w:rFonts w:hint="eastAsia" w:ascii="宋体" w:hAnsi="宋体"/>
          <w:sz w:val="24"/>
        </w:rPr>
        <w:t>乙方体检过程中发现重大疾病，在24小时内告知（请打√选择）</w:t>
      </w:r>
    </w:p>
    <w:p>
      <w:pPr>
        <w:spacing w:line="360" w:lineRule="auto"/>
        <w:ind w:left="420"/>
        <w:rPr>
          <w:rFonts w:ascii="宋体" w:hAnsi="宋体"/>
          <w:sz w:val="24"/>
        </w:rPr>
      </w:pPr>
      <w:r>
        <w:rPr>
          <w:rFonts w:hint="eastAsia" w:ascii="宋体" w:hAnsi="宋体"/>
          <w:sz w:val="24"/>
        </w:rPr>
        <w:t>□体检者本人。        □甲方卫生主管部门。</w:t>
      </w:r>
    </w:p>
    <w:p>
      <w:pPr>
        <w:numPr>
          <w:ilvl w:val="0"/>
          <w:numId w:val="7"/>
        </w:numPr>
        <w:spacing w:line="360" w:lineRule="auto"/>
        <w:rPr>
          <w:rFonts w:ascii="宋体" w:hAnsi="宋体"/>
          <w:sz w:val="24"/>
        </w:rPr>
      </w:pPr>
      <w:r>
        <w:rPr>
          <w:rFonts w:hint="eastAsia" w:ascii="宋体" w:hAnsi="宋体"/>
          <w:sz w:val="24"/>
        </w:rPr>
        <w:t>乙方可为甲方提供私人医生服务（以甲方选择乙方实际提的供项目为准），优惠至</w:t>
      </w:r>
      <w:r>
        <w:rPr>
          <w:rFonts w:hint="eastAsia" w:ascii="宋体" w:hAnsi="宋体"/>
          <w:sz w:val="24"/>
          <w:u w:val="single"/>
        </w:rPr>
        <w:t xml:space="preserve">      </w:t>
      </w:r>
      <w:r>
        <w:rPr>
          <w:rFonts w:hint="eastAsia" w:ascii="宋体" w:hAnsi="宋体"/>
          <w:sz w:val="24"/>
        </w:rPr>
        <w:t>元/人/年。主要包含个性化深度体检、健康改善计划、私人医生诊疗、重大疾病就医协助等私人专属全程的医疗服务。</w:t>
      </w:r>
    </w:p>
    <w:p>
      <w:pPr>
        <w:numPr>
          <w:ilvl w:val="0"/>
          <w:numId w:val="7"/>
        </w:numPr>
        <w:spacing w:line="360" w:lineRule="auto"/>
        <w:rPr>
          <w:rFonts w:ascii="宋体" w:hAnsi="宋体"/>
          <w:sz w:val="24"/>
        </w:rPr>
      </w:pPr>
      <w:r>
        <w:rPr>
          <w:rFonts w:hint="eastAsia" w:ascii="宋体" w:hAnsi="宋体"/>
          <w:sz w:val="24"/>
        </w:rPr>
        <w:t>乙方建立体检随访录，向体检结果异常者提供追踪服务。</w:t>
      </w:r>
    </w:p>
    <w:p>
      <w:pPr>
        <w:numPr>
          <w:ilvl w:val="0"/>
          <w:numId w:val="7"/>
        </w:numPr>
        <w:spacing w:line="360" w:lineRule="auto"/>
        <w:rPr>
          <w:rFonts w:ascii="宋体" w:hAnsi="宋体"/>
          <w:sz w:val="24"/>
        </w:rPr>
      </w:pPr>
      <w:r>
        <w:rPr>
          <w:rFonts w:hint="eastAsia" w:ascii="宋体" w:hAnsi="宋体"/>
          <w:sz w:val="24"/>
        </w:rPr>
        <w:t>乙方为甲方个人提供一份书面体检报告和互联网电子体检报告；为甲方卫生主管部门提供团体健康分析报告和全体体检人员电子健康档案。</w:t>
      </w:r>
    </w:p>
    <w:p>
      <w:pPr>
        <w:numPr>
          <w:ilvl w:val="0"/>
          <w:numId w:val="7"/>
        </w:numPr>
        <w:spacing w:line="360" w:lineRule="auto"/>
        <w:rPr>
          <w:rFonts w:ascii="宋体" w:hAnsi="宋体"/>
          <w:sz w:val="24"/>
        </w:rPr>
      </w:pPr>
      <w:r>
        <w:rPr>
          <w:rFonts w:hint="eastAsia" w:ascii="宋体" w:hAnsi="宋体"/>
          <w:sz w:val="24"/>
        </w:rPr>
        <w:t>乙方开通专家咨询热线，周一至周五8：00-17：00，周六8:00-12:00设有专家座席接听来电咨询。</w:t>
      </w:r>
    </w:p>
    <w:p>
      <w:pPr>
        <w:numPr>
          <w:ilvl w:val="0"/>
          <w:numId w:val="7"/>
        </w:numPr>
        <w:spacing w:line="360" w:lineRule="auto"/>
        <w:rPr>
          <w:rFonts w:ascii="宋体" w:hAnsi="宋体"/>
          <w:sz w:val="24"/>
        </w:rPr>
      </w:pPr>
      <w:r>
        <w:rPr>
          <w:rFonts w:hint="eastAsia" w:ascii="宋体" w:hAnsi="宋体"/>
          <w:sz w:val="24"/>
        </w:rPr>
        <w:t>乙方可为甲方提供会议、体育赛事等大型活动医疗健康保障服务支持，具体费用另行协商。</w:t>
      </w:r>
    </w:p>
    <w:p>
      <w:pPr>
        <w:numPr>
          <w:ilvl w:val="0"/>
          <w:numId w:val="4"/>
        </w:numPr>
        <w:spacing w:line="360" w:lineRule="auto"/>
        <w:rPr>
          <w:rFonts w:ascii="宋体" w:hAnsi="宋体"/>
          <w:b/>
          <w:sz w:val="24"/>
        </w:rPr>
      </w:pPr>
      <w:r>
        <w:rPr>
          <w:rFonts w:hint="eastAsia" w:ascii="宋体" w:hAnsi="宋体"/>
          <w:b/>
          <w:sz w:val="24"/>
        </w:rPr>
        <w:t>甲方权利及义务</w:t>
      </w:r>
    </w:p>
    <w:p>
      <w:pPr>
        <w:numPr>
          <w:ilvl w:val="0"/>
          <w:numId w:val="8"/>
        </w:numPr>
        <w:spacing w:line="360" w:lineRule="auto"/>
        <w:rPr>
          <w:rFonts w:ascii="宋体" w:hAnsi="宋体"/>
          <w:sz w:val="24"/>
        </w:rPr>
      </w:pPr>
      <w:r>
        <w:rPr>
          <w:rFonts w:hint="eastAsia" w:ascii="宋体" w:hAnsi="宋体"/>
          <w:sz w:val="24"/>
        </w:rPr>
        <w:t>准确提供体检项目有关资料。</w:t>
      </w:r>
    </w:p>
    <w:p>
      <w:pPr>
        <w:numPr>
          <w:ilvl w:val="0"/>
          <w:numId w:val="8"/>
        </w:numPr>
        <w:spacing w:line="360" w:lineRule="auto"/>
        <w:rPr>
          <w:rFonts w:ascii="宋体" w:hAnsi="宋体"/>
          <w:sz w:val="24"/>
        </w:rPr>
      </w:pPr>
      <w:r>
        <w:rPr>
          <w:rFonts w:hint="eastAsia" w:ascii="宋体" w:hAnsi="宋体"/>
          <w:sz w:val="24"/>
        </w:rPr>
        <w:t>提供参检人员姓名、性别、年龄、婚姻状况及身份证号码的电子表格。</w:t>
      </w:r>
    </w:p>
    <w:p>
      <w:pPr>
        <w:numPr>
          <w:ilvl w:val="0"/>
          <w:numId w:val="8"/>
        </w:numPr>
        <w:spacing w:line="360" w:lineRule="auto"/>
        <w:rPr>
          <w:rFonts w:ascii="宋体" w:hAnsi="宋体"/>
          <w:sz w:val="24"/>
        </w:rPr>
      </w:pPr>
      <w:r>
        <w:rPr>
          <w:rFonts w:hint="eastAsia" w:ascii="宋体" w:hAnsi="宋体"/>
          <w:sz w:val="24"/>
        </w:rPr>
        <w:t>事先做好周密安排并告知员工有关体检注意事项，甲方员工应按乙方要求注意体检准备事项并充分配合乙方及乙方工作人员的体检安排，以便顺利完成全部体检项目。</w:t>
      </w:r>
    </w:p>
    <w:p>
      <w:pPr>
        <w:numPr>
          <w:ilvl w:val="0"/>
          <w:numId w:val="8"/>
        </w:numPr>
        <w:spacing w:line="360" w:lineRule="auto"/>
        <w:rPr>
          <w:rFonts w:ascii="宋体" w:hAnsi="宋体"/>
          <w:sz w:val="24"/>
        </w:rPr>
      </w:pPr>
      <w:r>
        <w:rPr>
          <w:rFonts w:hint="eastAsia" w:ascii="宋体" w:hAnsi="宋体"/>
          <w:sz w:val="24"/>
        </w:rPr>
        <w:t>按时向乙方支付体检费用。</w:t>
      </w:r>
    </w:p>
    <w:p>
      <w:pPr>
        <w:numPr>
          <w:ilvl w:val="0"/>
          <w:numId w:val="8"/>
        </w:numPr>
        <w:spacing w:line="360" w:lineRule="auto"/>
        <w:rPr>
          <w:rFonts w:ascii="宋体" w:hAnsi="宋体"/>
          <w:sz w:val="24"/>
        </w:rPr>
      </w:pPr>
      <w:r>
        <w:rPr>
          <w:rFonts w:hint="eastAsia" w:ascii="宋体" w:hAnsi="宋体"/>
          <w:sz w:val="24"/>
        </w:rPr>
        <w:t>对于本协议书规定的体检收费标准，甲方负有为乙方保密的义务。</w:t>
      </w:r>
    </w:p>
    <w:p>
      <w:pPr>
        <w:numPr>
          <w:ilvl w:val="0"/>
          <w:numId w:val="4"/>
        </w:numPr>
        <w:spacing w:line="360" w:lineRule="auto"/>
        <w:rPr>
          <w:rFonts w:ascii="宋体" w:hAnsi="宋体"/>
          <w:b/>
          <w:sz w:val="24"/>
        </w:rPr>
      </w:pPr>
      <w:r>
        <w:rPr>
          <w:rFonts w:hint="eastAsia" w:ascii="宋体" w:hAnsi="宋体"/>
          <w:b/>
          <w:sz w:val="24"/>
        </w:rPr>
        <w:t>乙方权利及义务</w:t>
      </w:r>
    </w:p>
    <w:p>
      <w:pPr>
        <w:numPr>
          <w:ilvl w:val="0"/>
          <w:numId w:val="9"/>
        </w:numPr>
        <w:spacing w:line="360" w:lineRule="auto"/>
        <w:rPr>
          <w:rFonts w:ascii="宋体" w:hAnsi="宋体"/>
          <w:sz w:val="24"/>
        </w:rPr>
      </w:pPr>
      <w:r>
        <w:rPr>
          <w:rFonts w:hint="eastAsia" w:ascii="宋体" w:hAnsi="宋体"/>
          <w:sz w:val="24"/>
        </w:rPr>
        <w:t>乙方应保证体检设备处于良好的工作状态。</w:t>
      </w:r>
    </w:p>
    <w:p>
      <w:pPr>
        <w:numPr>
          <w:ilvl w:val="0"/>
          <w:numId w:val="9"/>
        </w:numPr>
        <w:spacing w:line="360" w:lineRule="auto"/>
        <w:rPr>
          <w:rFonts w:ascii="宋体" w:hAnsi="宋体"/>
          <w:sz w:val="24"/>
        </w:rPr>
      </w:pPr>
      <w:r>
        <w:rPr>
          <w:rFonts w:hint="eastAsia" w:ascii="宋体" w:hAnsi="宋体"/>
          <w:sz w:val="24"/>
        </w:rPr>
        <w:t>乙方应按国家规定的标准流程为甲方员工安排高质量、规范化的体检服务。</w:t>
      </w:r>
    </w:p>
    <w:p>
      <w:pPr>
        <w:numPr>
          <w:ilvl w:val="0"/>
          <w:numId w:val="9"/>
        </w:numPr>
        <w:spacing w:line="360" w:lineRule="auto"/>
        <w:rPr>
          <w:rFonts w:ascii="宋体" w:hAnsi="宋体"/>
          <w:sz w:val="24"/>
        </w:rPr>
      </w:pPr>
      <w:r>
        <w:rPr>
          <w:rFonts w:hint="eastAsia" w:ascii="宋体" w:hAnsi="宋体"/>
          <w:sz w:val="24"/>
        </w:rPr>
        <w:t>乙方应在甲方员工完成全部体检项目后七日内向甲方提交符合国家标准的体检报告。</w:t>
      </w:r>
    </w:p>
    <w:p>
      <w:pPr>
        <w:numPr>
          <w:ilvl w:val="0"/>
          <w:numId w:val="9"/>
        </w:numPr>
        <w:spacing w:line="360" w:lineRule="auto"/>
        <w:rPr>
          <w:rFonts w:ascii="宋体" w:hAnsi="宋体"/>
          <w:sz w:val="24"/>
        </w:rPr>
      </w:pPr>
      <w:r>
        <w:rPr>
          <w:rFonts w:hint="eastAsia" w:ascii="宋体" w:hAnsi="宋体"/>
          <w:sz w:val="24"/>
        </w:rPr>
        <w:t>对于体检过程中发现的甲方员工的疾病、疾病征兆及健康隐患，乙方应在体检报告中予以充分的说明；如有需要，乙方应安排专家向甲方员工提供详尽的咨询与解答。</w:t>
      </w:r>
    </w:p>
    <w:p>
      <w:pPr>
        <w:numPr>
          <w:ilvl w:val="0"/>
          <w:numId w:val="9"/>
        </w:numPr>
        <w:spacing w:line="360" w:lineRule="auto"/>
        <w:rPr>
          <w:rFonts w:ascii="宋体" w:hAnsi="宋体"/>
          <w:sz w:val="24"/>
        </w:rPr>
      </w:pPr>
      <w:r>
        <w:rPr>
          <w:rFonts w:hint="eastAsia" w:ascii="宋体" w:hAnsi="宋体"/>
          <w:sz w:val="24"/>
        </w:rPr>
        <w:t>乙方应为甲方参检员工建立电子体检档案，体检档案应当清晰、准确、完整，并妥善保存备查。</w:t>
      </w:r>
    </w:p>
    <w:p>
      <w:pPr>
        <w:numPr>
          <w:ilvl w:val="0"/>
          <w:numId w:val="9"/>
        </w:numPr>
        <w:spacing w:line="360" w:lineRule="auto"/>
        <w:rPr>
          <w:rFonts w:ascii="宋体" w:hAnsi="宋体"/>
          <w:sz w:val="24"/>
        </w:rPr>
      </w:pPr>
      <w:r>
        <w:rPr>
          <w:rFonts w:hint="eastAsia" w:ascii="宋体" w:hAnsi="宋体"/>
          <w:sz w:val="24"/>
        </w:rPr>
        <w:t>对于乙方在体检过程中知悉的甲方员工资料（包括但不限于姓名、年龄、体检指标、健康状况等），乙方负有充分的保密义务，并且这种保密义务不受时间的限制。</w:t>
      </w:r>
    </w:p>
    <w:p>
      <w:pPr>
        <w:numPr>
          <w:ilvl w:val="0"/>
          <w:numId w:val="9"/>
        </w:numPr>
        <w:spacing w:line="360" w:lineRule="auto"/>
        <w:rPr>
          <w:rFonts w:ascii="宋体" w:hAnsi="宋体"/>
          <w:sz w:val="24"/>
        </w:rPr>
      </w:pPr>
      <w:r>
        <w:rPr>
          <w:rFonts w:hint="eastAsia" w:ascii="宋体" w:hAnsi="宋体"/>
          <w:sz w:val="24"/>
        </w:rPr>
        <w:t>乙方对此次健康体检的报告负责，若在规定体检项目和应有技术水平范围内，因工作缺陷或医疗器材造成体检质量问题的，乙方应负全责并无条件给予当事人适当补救措施。</w:t>
      </w:r>
    </w:p>
    <w:p>
      <w:pPr>
        <w:numPr>
          <w:ilvl w:val="0"/>
          <w:numId w:val="4"/>
        </w:numPr>
        <w:spacing w:line="360" w:lineRule="auto"/>
        <w:rPr>
          <w:rFonts w:ascii="宋体" w:hAnsi="宋体"/>
          <w:b/>
          <w:sz w:val="24"/>
        </w:rPr>
      </w:pPr>
      <w:r>
        <w:rPr>
          <w:rFonts w:hint="eastAsia" w:ascii="宋体" w:hAnsi="宋体"/>
          <w:b/>
          <w:sz w:val="24"/>
        </w:rPr>
        <w:t>保密事项</w:t>
      </w:r>
    </w:p>
    <w:p>
      <w:pPr>
        <w:spacing w:line="360" w:lineRule="auto"/>
        <w:ind w:firstLine="480" w:firstLineChars="200"/>
        <w:rPr>
          <w:rFonts w:ascii="宋体" w:hAnsi="宋体"/>
          <w:sz w:val="24"/>
        </w:rPr>
      </w:pPr>
      <w:r>
        <w:rPr>
          <w:rFonts w:hint="eastAsia" w:ascii="宋体" w:hAnsi="宋体"/>
          <w:sz w:val="24"/>
        </w:rPr>
        <w:t>依据国家相关法律法规，</w:t>
      </w:r>
      <w:r>
        <w:rPr>
          <w:rFonts w:ascii="宋体" w:hAnsi="宋体"/>
          <w:sz w:val="24"/>
        </w:rPr>
        <w:t>无论受检者是否自愿，</w:t>
      </w:r>
      <w:r>
        <w:rPr>
          <w:rFonts w:hint="eastAsia" w:ascii="宋体" w:hAnsi="宋体"/>
          <w:sz w:val="24"/>
        </w:rPr>
        <w:t>乙方</w:t>
      </w:r>
      <w:r>
        <w:rPr>
          <w:rFonts w:ascii="宋体" w:hAnsi="宋体"/>
          <w:sz w:val="24"/>
        </w:rPr>
        <w:t>一律不得提供</w:t>
      </w:r>
      <w:r>
        <w:rPr>
          <w:rFonts w:hint="eastAsia" w:ascii="宋体" w:hAnsi="宋体"/>
          <w:sz w:val="24"/>
        </w:rPr>
        <w:t>入职</w:t>
      </w:r>
      <w:r>
        <w:rPr>
          <w:rFonts w:ascii="宋体" w:hAnsi="宋体"/>
          <w:sz w:val="24"/>
        </w:rPr>
        <w:t>体检乙肝项目检测</w:t>
      </w:r>
      <w:r>
        <w:rPr>
          <w:rFonts w:hint="eastAsia" w:ascii="宋体" w:hAnsi="宋体"/>
          <w:sz w:val="24"/>
        </w:rPr>
        <w:t>。</w:t>
      </w:r>
      <w:r>
        <w:rPr>
          <w:rFonts w:ascii="宋体" w:hAnsi="宋体"/>
          <w:sz w:val="24"/>
        </w:rPr>
        <w:t>对非</w:t>
      </w:r>
      <w:r>
        <w:rPr>
          <w:rFonts w:hint="eastAsia" w:ascii="宋体" w:hAnsi="宋体"/>
          <w:sz w:val="24"/>
        </w:rPr>
        <w:t>入职</w:t>
      </w:r>
      <w:r>
        <w:rPr>
          <w:rFonts w:ascii="宋体" w:hAnsi="宋体"/>
          <w:sz w:val="24"/>
        </w:rPr>
        <w:t>体检，</w:t>
      </w:r>
      <w:r>
        <w:rPr>
          <w:rFonts w:hint="eastAsia" w:ascii="宋体" w:hAnsi="宋体"/>
          <w:sz w:val="24"/>
        </w:rPr>
        <w:t>乙方</w:t>
      </w:r>
      <w:r>
        <w:rPr>
          <w:rFonts w:ascii="宋体" w:hAnsi="宋体"/>
          <w:sz w:val="24"/>
        </w:rPr>
        <w:t>妥善保存受检者签署的乙肝项目检测知情同意书</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体检报告为个人隐私,仅限受检者本人拆阅。若本人因故无法自取体检报告需委托他人代领的，请体检者填写《体检报告委托领取书》一并交委托人，乙方将在验明委托人有效身份证明后发放体检报告等资料。</w:t>
      </w:r>
    </w:p>
    <w:p>
      <w:pPr>
        <w:spacing w:line="360" w:lineRule="auto"/>
        <w:ind w:firstLine="480" w:firstLineChars="200"/>
        <w:rPr>
          <w:rFonts w:ascii="宋体" w:hAnsi="宋体"/>
          <w:sz w:val="24"/>
        </w:rPr>
      </w:pPr>
      <w:r>
        <w:rPr>
          <w:rFonts w:hint="eastAsia" w:ascii="宋体" w:hAnsi="宋体"/>
          <w:sz w:val="24"/>
        </w:rPr>
        <w:t>体检报告自移交甲方或体检者之日起，甲方负有保护体检者隐私权，任何人不得随意翻阅、查阅、散布、复印、网络传播及向第三方泄露本次个人及团体体检结果。</w:t>
      </w:r>
    </w:p>
    <w:p>
      <w:pPr>
        <w:numPr>
          <w:ilvl w:val="0"/>
          <w:numId w:val="4"/>
        </w:numPr>
        <w:spacing w:line="360" w:lineRule="auto"/>
        <w:rPr>
          <w:rFonts w:ascii="宋体" w:hAnsi="宋体"/>
          <w:b/>
          <w:sz w:val="24"/>
        </w:rPr>
      </w:pPr>
      <w:r>
        <w:rPr>
          <w:rFonts w:hint="eastAsia" w:ascii="宋体" w:hAnsi="宋体"/>
          <w:b/>
          <w:sz w:val="24"/>
        </w:rPr>
        <w:t>违约责任</w:t>
      </w:r>
    </w:p>
    <w:p>
      <w:pPr>
        <w:spacing w:line="360" w:lineRule="auto"/>
        <w:ind w:firstLine="480" w:firstLineChars="200"/>
        <w:rPr>
          <w:rFonts w:ascii="宋体" w:hAnsi="宋体"/>
          <w:sz w:val="24"/>
        </w:rPr>
      </w:pPr>
      <w:r>
        <w:rPr>
          <w:rFonts w:hint="eastAsia" w:ascii="宋体" w:hAnsi="宋体"/>
          <w:sz w:val="24"/>
        </w:rPr>
        <w:t>双方确定，合同自双方签字之日生效，不得违约。任何一方发生违约行为，本合同自行解除，并由违约方向守约方按合同费用的</w:t>
      </w:r>
      <w:r>
        <w:rPr>
          <w:rFonts w:ascii="宋体" w:hAnsi="宋体"/>
          <w:sz w:val="24"/>
        </w:rPr>
        <w:t>20</w:t>
      </w:r>
      <w:r>
        <w:rPr>
          <w:rFonts w:hint="eastAsia" w:ascii="宋体" w:hAnsi="宋体"/>
          <w:sz w:val="24"/>
        </w:rPr>
        <w:t>％支付违约金。出现下列情形，致使本合同的履行成为不必要或不可能的，可以解除本合同：</w:t>
      </w:r>
    </w:p>
    <w:p>
      <w:pPr>
        <w:numPr>
          <w:ilvl w:val="0"/>
          <w:numId w:val="10"/>
        </w:numPr>
        <w:spacing w:line="360" w:lineRule="auto"/>
        <w:rPr>
          <w:rFonts w:ascii="宋体" w:hAnsi="宋体"/>
          <w:sz w:val="24"/>
        </w:rPr>
      </w:pPr>
      <w:r>
        <w:rPr>
          <w:rFonts w:hint="eastAsia" w:ascii="宋体" w:hAnsi="宋体"/>
          <w:sz w:val="24"/>
        </w:rPr>
        <w:t>发生不可抗力（如自然灾害、突发公共卫生事件等），乙方于发生事件之日起两日内告知甲方。</w:t>
      </w:r>
    </w:p>
    <w:p>
      <w:pPr>
        <w:numPr>
          <w:ilvl w:val="0"/>
          <w:numId w:val="10"/>
        </w:numPr>
        <w:spacing w:line="360" w:lineRule="auto"/>
        <w:rPr>
          <w:rFonts w:ascii="宋体" w:hAnsi="宋体"/>
          <w:sz w:val="24"/>
        </w:rPr>
      </w:pPr>
      <w:r>
        <w:rPr>
          <w:rFonts w:hint="eastAsia" w:ascii="宋体" w:hAnsi="宋体"/>
          <w:sz w:val="24"/>
        </w:rPr>
        <w:t>政府行政部门所作出的措施、条例和命令，且必须完成的，乙方在发生之日起两日内告知甲方。</w:t>
      </w:r>
    </w:p>
    <w:p>
      <w:pPr>
        <w:numPr>
          <w:ilvl w:val="0"/>
          <w:numId w:val="4"/>
        </w:numPr>
        <w:spacing w:line="360" w:lineRule="auto"/>
        <w:rPr>
          <w:rFonts w:ascii="宋体" w:hAnsi="宋体"/>
          <w:sz w:val="24"/>
        </w:rPr>
      </w:pPr>
      <w:r>
        <w:rPr>
          <w:rFonts w:hint="eastAsia" w:ascii="宋体" w:hAnsi="宋体"/>
          <w:sz w:val="24"/>
        </w:rPr>
        <w:t>其它未尽事宜由双方友好协商解决。协商解决不成的，应通过乙方所在地人民法院等司法途径解决。</w:t>
      </w:r>
    </w:p>
    <w:p>
      <w:pPr>
        <w:numPr>
          <w:ilvl w:val="0"/>
          <w:numId w:val="4"/>
        </w:numPr>
        <w:spacing w:line="360" w:lineRule="auto"/>
        <w:rPr>
          <w:rFonts w:ascii="宋体" w:hAnsi="宋体"/>
          <w:sz w:val="24"/>
        </w:rPr>
      </w:pPr>
      <w:r>
        <w:rPr>
          <w:rFonts w:hint="eastAsia" w:ascii="宋体" w:hAnsi="宋体"/>
          <w:sz w:val="24"/>
        </w:rPr>
        <w:t>本合同一式贰份，甲乙双方各执壹份。合同的附件是有效组成部分，与本合同具有同等法律效力。本合同自双方代表人签字盖章生效。如有未尽事宜，双方可另行签订补充协议。</w:t>
      </w:r>
    </w:p>
    <w:p>
      <w:pPr>
        <w:spacing w:line="360" w:lineRule="auto"/>
        <w:rPr>
          <w:rFonts w:ascii="宋体" w:hAnsi="宋体"/>
          <w:sz w:val="24"/>
        </w:rPr>
      </w:pPr>
      <w:r>
        <w:rPr>
          <w:rFonts w:hint="eastAsia" w:ascii="宋体" w:hAnsi="宋体"/>
          <w:b/>
          <w:sz w:val="24"/>
        </w:rPr>
        <w:t>本页为签字页，以下无正文</w:t>
      </w:r>
    </w:p>
    <w:tbl>
      <w:tblPr>
        <w:tblStyle w:val="18"/>
        <w:tblW w:w="8522" w:type="dxa"/>
        <w:tblInd w:w="0" w:type="dxa"/>
        <w:tblLayout w:type="fixed"/>
        <w:tblCellMar>
          <w:top w:w="0" w:type="dxa"/>
          <w:left w:w="108" w:type="dxa"/>
          <w:bottom w:w="0" w:type="dxa"/>
          <w:right w:w="108" w:type="dxa"/>
        </w:tblCellMar>
      </w:tblPr>
      <w:tblGrid>
        <w:gridCol w:w="4361"/>
        <w:gridCol w:w="4161"/>
      </w:tblGrid>
      <w:tr>
        <w:tblPrEx>
          <w:tblLayout w:type="fixed"/>
          <w:tblCellMar>
            <w:top w:w="0" w:type="dxa"/>
            <w:left w:w="108" w:type="dxa"/>
            <w:bottom w:w="0" w:type="dxa"/>
            <w:right w:w="108" w:type="dxa"/>
          </w:tblCellMar>
        </w:tblPrEx>
        <w:tc>
          <w:tcPr>
            <w:tcW w:w="4361" w:type="dxa"/>
          </w:tcPr>
          <w:p>
            <w:pPr>
              <w:spacing w:line="360" w:lineRule="auto"/>
              <w:rPr>
                <w:rFonts w:ascii="宋体" w:hAnsi="宋体"/>
                <w:b/>
                <w:sz w:val="24"/>
                <w:szCs w:val="24"/>
              </w:rPr>
            </w:pPr>
            <w:r>
              <w:rPr>
                <w:rFonts w:hint="eastAsia" w:ascii="宋体" w:hAnsi="宋体"/>
                <w:sz w:val="24"/>
                <w:szCs w:val="24"/>
              </w:rPr>
              <w:t>甲方：</w:t>
            </w:r>
          </w:p>
        </w:tc>
        <w:tc>
          <w:tcPr>
            <w:tcW w:w="4161" w:type="dxa"/>
          </w:tcPr>
          <w:p>
            <w:pPr>
              <w:spacing w:line="360" w:lineRule="auto"/>
              <w:rPr>
                <w:rFonts w:ascii="宋体" w:hAnsi="宋体"/>
                <w:b/>
                <w:sz w:val="24"/>
                <w:szCs w:val="24"/>
              </w:rPr>
            </w:pPr>
            <w:r>
              <w:rPr>
                <w:rFonts w:hint="eastAsia" w:ascii="宋体" w:hAnsi="宋体"/>
                <w:sz w:val="24"/>
                <w:szCs w:val="24"/>
              </w:rPr>
              <w:t>乙方：</w:t>
            </w:r>
          </w:p>
        </w:tc>
      </w:tr>
      <w:tr>
        <w:tblPrEx>
          <w:tblLayout w:type="fixed"/>
          <w:tblCellMar>
            <w:top w:w="0" w:type="dxa"/>
            <w:left w:w="108" w:type="dxa"/>
            <w:bottom w:w="0" w:type="dxa"/>
            <w:right w:w="108" w:type="dxa"/>
          </w:tblCellMar>
        </w:tblPrEx>
        <w:tc>
          <w:tcPr>
            <w:tcW w:w="4361" w:type="dxa"/>
          </w:tcPr>
          <w:p>
            <w:pPr>
              <w:spacing w:line="360" w:lineRule="auto"/>
              <w:rPr>
                <w:rFonts w:ascii="宋体" w:hAnsi="宋体"/>
                <w:b/>
                <w:sz w:val="24"/>
                <w:szCs w:val="24"/>
              </w:rPr>
            </w:pPr>
            <w:r>
              <w:rPr>
                <w:rFonts w:hint="eastAsia" w:ascii="宋体" w:hAnsi="宋体"/>
                <w:sz w:val="24"/>
                <w:szCs w:val="24"/>
              </w:rPr>
              <w:t>地址：</w:t>
            </w:r>
          </w:p>
        </w:tc>
        <w:tc>
          <w:tcPr>
            <w:tcW w:w="4161" w:type="dxa"/>
          </w:tcPr>
          <w:p>
            <w:pPr>
              <w:spacing w:line="360" w:lineRule="auto"/>
              <w:rPr>
                <w:rFonts w:ascii="宋体" w:hAnsi="宋体"/>
                <w:b/>
                <w:sz w:val="24"/>
                <w:szCs w:val="24"/>
              </w:rPr>
            </w:pPr>
            <w:r>
              <w:rPr>
                <w:rFonts w:hint="eastAsia" w:ascii="宋体" w:hAnsi="宋体"/>
                <w:sz w:val="24"/>
                <w:szCs w:val="24"/>
              </w:rPr>
              <w:t>地址：</w:t>
            </w:r>
          </w:p>
        </w:tc>
      </w:tr>
      <w:tr>
        <w:tblPrEx>
          <w:tblLayout w:type="fixed"/>
          <w:tblCellMar>
            <w:top w:w="0" w:type="dxa"/>
            <w:left w:w="108" w:type="dxa"/>
            <w:bottom w:w="0" w:type="dxa"/>
            <w:right w:w="108" w:type="dxa"/>
          </w:tblCellMar>
        </w:tblPrEx>
        <w:tc>
          <w:tcPr>
            <w:tcW w:w="4361" w:type="dxa"/>
          </w:tcPr>
          <w:p>
            <w:pPr>
              <w:spacing w:line="360" w:lineRule="auto"/>
              <w:rPr>
                <w:rFonts w:ascii="宋体" w:hAnsi="宋体"/>
                <w:b/>
                <w:sz w:val="24"/>
                <w:szCs w:val="24"/>
              </w:rPr>
            </w:pPr>
            <w:r>
              <w:rPr>
                <w:rFonts w:hint="eastAsia" w:ascii="宋体" w:hAnsi="宋体"/>
                <w:sz w:val="24"/>
                <w:szCs w:val="24"/>
              </w:rPr>
              <w:t>电话：</w:t>
            </w:r>
          </w:p>
        </w:tc>
        <w:tc>
          <w:tcPr>
            <w:tcW w:w="4161" w:type="dxa"/>
          </w:tcPr>
          <w:p>
            <w:pPr>
              <w:spacing w:line="360" w:lineRule="auto"/>
              <w:rPr>
                <w:rFonts w:ascii="宋体" w:hAnsi="宋体"/>
                <w:b/>
                <w:sz w:val="24"/>
                <w:szCs w:val="24"/>
              </w:rPr>
            </w:pPr>
            <w:r>
              <w:rPr>
                <w:rFonts w:hint="eastAsia" w:ascii="宋体" w:hAnsi="宋体"/>
                <w:sz w:val="24"/>
                <w:szCs w:val="24"/>
              </w:rPr>
              <w:t>电话：</w:t>
            </w:r>
          </w:p>
        </w:tc>
      </w:tr>
      <w:tr>
        <w:tblPrEx>
          <w:tblLayout w:type="fixed"/>
          <w:tblCellMar>
            <w:top w:w="0" w:type="dxa"/>
            <w:left w:w="108" w:type="dxa"/>
            <w:bottom w:w="0" w:type="dxa"/>
            <w:right w:w="108" w:type="dxa"/>
          </w:tblCellMar>
        </w:tblPrEx>
        <w:tc>
          <w:tcPr>
            <w:tcW w:w="4361" w:type="dxa"/>
          </w:tcPr>
          <w:p>
            <w:pPr>
              <w:spacing w:line="360" w:lineRule="auto"/>
              <w:rPr>
                <w:rFonts w:ascii="宋体" w:hAnsi="宋体"/>
                <w:sz w:val="24"/>
                <w:szCs w:val="24"/>
              </w:rPr>
            </w:pPr>
            <w:r>
              <w:rPr>
                <w:rFonts w:hint="eastAsia" w:ascii="宋体" w:hAnsi="宋体"/>
                <w:sz w:val="24"/>
                <w:szCs w:val="24"/>
              </w:rPr>
              <w:t xml:space="preserve">开户行： </w:t>
            </w:r>
          </w:p>
        </w:tc>
        <w:tc>
          <w:tcPr>
            <w:tcW w:w="4161" w:type="dxa"/>
          </w:tcPr>
          <w:p>
            <w:pPr>
              <w:spacing w:line="360" w:lineRule="auto"/>
              <w:rPr>
                <w:rFonts w:ascii="宋体" w:hAnsi="宋体"/>
                <w:sz w:val="24"/>
                <w:szCs w:val="24"/>
              </w:rPr>
            </w:pPr>
            <w:r>
              <w:rPr>
                <w:rFonts w:hint="eastAsia" w:ascii="宋体" w:hAnsi="宋体"/>
                <w:sz w:val="24"/>
                <w:szCs w:val="24"/>
              </w:rPr>
              <w:t>开户行：</w:t>
            </w:r>
          </w:p>
        </w:tc>
      </w:tr>
      <w:tr>
        <w:tblPrEx>
          <w:tblLayout w:type="fixed"/>
          <w:tblCellMar>
            <w:top w:w="0" w:type="dxa"/>
            <w:left w:w="108" w:type="dxa"/>
            <w:bottom w:w="0" w:type="dxa"/>
            <w:right w:w="108" w:type="dxa"/>
          </w:tblCellMar>
        </w:tblPrEx>
        <w:tc>
          <w:tcPr>
            <w:tcW w:w="4361" w:type="dxa"/>
          </w:tcPr>
          <w:p>
            <w:pPr>
              <w:spacing w:line="360" w:lineRule="auto"/>
              <w:rPr>
                <w:rFonts w:ascii="宋体" w:hAnsi="宋体"/>
                <w:sz w:val="24"/>
                <w:szCs w:val="24"/>
              </w:rPr>
            </w:pPr>
            <w:r>
              <w:rPr>
                <w:rFonts w:hint="eastAsia" w:ascii="宋体" w:hAnsi="宋体"/>
                <w:sz w:val="24"/>
                <w:szCs w:val="24"/>
              </w:rPr>
              <w:t xml:space="preserve">户名： </w:t>
            </w:r>
          </w:p>
        </w:tc>
        <w:tc>
          <w:tcPr>
            <w:tcW w:w="4161" w:type="dxa"/>
          </w:tcPr>
          <w:p>
            <w:pPr>
              <w:spacing w:line="360" w:lineRule="auto"/>
              <w:rPr>
                <w:rFonts w:ascii="宋体" w:hAnsi="宋体"/>
                <w:sz w:val="24"/>
                <w:szCs w:val="24"/>
              </w:rPr>
            </w:pPr>
            <w:r>
              <w:rPr>
                <w:rFonts w:hint="eastAsia" w:ascii="宋体" w:hAnsi="宋体"/>
                <w:sz w:val="24"/>
                <w:szCs w:val="24"/>
              </w:rPr>
              <w:t>户名：</w:t>
            </w:r>
          </w:p>
        </w:tc>
      </w:tr>
      <w:tr>
        <w:tblPrEx>
          <w:tblLayout w:type="fixed"/>
          <w:tblCellMar>
            <w:top w:w="0" w:type="dxa"/>
            <w:left w:w="108" w:type="dxa"/>
            <w:bottom w:w="0" w:type="dxa"/>
            <w:right w:w="108" w:type="dxa"/>
          </w:tblCellMar>
        </w:tblPrEx>
        <w:tc>
          <w:tcPr>
            <w:tcW w:w="4361" w:type="dxa"/>
          </w:tcPr>
          <w:p>
            <w:pPr>
              <w:spacing w:line="360" w:lineRule="auto"/>
              <w:rPr>
                <w:rFonts w:ascii="宋体" w:hAnsi="宋体"/>
                <w:sz w:val="24"/>
                <w:szCs w:val="24"/>
              </w:rPr>
            </w:pPr>
            <w:r>
              <w:rPr>
                <w:rFonts w:hint="eastAsia" w:ascii="宋体" w:hAnsi="宋体"/>
                <w:sz w:val="24"/>
                <w:szCs w:val="24"/>
              </w:rPr>
              <w:t xml:space="preserve">账号： </w:t>
            </w:r>
          </w:p>
        </w:tc>
        <w:tc>
          <w:tcPr>
            <w:tcW w:w="4161" w:type="dxa"/>
          </w:tcPr>
          <w:p>
            <w:pPr>
              <w:spacing w:line="360" w:lineRule="auto"/>
              <w:rPr>
                <w:rFonts w:ascii="宋体" w:hAnsi="宋体"/>
                <w:sz w:val="24"/>
                <w:szCs w:val="24"/>
              </w:rPr>
            </w:pPr>
            <w:r>
              <w:rPr>
                <w:rFonts w:hint="eastAsia" w:ascii="宋体" w:hAnsi="宋体"/>
                <w:sz w:val="24"/>
                <w:szCs w:val="24"/>
              </w:rPr>
              <w:t>账号：</w:t>
            </w:r>
          </w:p>
        </w:tc>
      </w:tr>
      <w:tr>
        <w:tblPrEx>
          <w:tblLayout w:type="fixed"/>
          <w:tblCellMar>
            <w:top w:w="0" w:type="dxa"/>
            <w:left w:w="108" w:type="dxa"/>
            <w:bottom w:w="0" w:type="dxa"/>
            <w:right w:w="108" w:type="dxa"/>
          </w:tblCellMar>
        </w:tblPrEx>
        <w:tc>
          <w:tcPr>
            <w:tcW w:w="4361" w:type="dxa"/>
          </w:tcPr>
          <w:p>
            <w:pPr>
              <w:spacing w:line="360" w:lineRule="auto"/>
              <w:rPr>
                <w:rFonts w:ascii="宋体" w:hAnsi="宋体"/>
                <w:b/>
                <w:sz w:val="24"/>
                <w:szCs w:val="24"/>
              </w:rPr>
            </w:pPr>
            <w:r>
              <w:rPr>
                <w:rFonts w:hint="eastAsia" w:ascii="宋体" w:hAnsi="宋体"/>
                <w:sz w:val="24"/>
                <w:szCs w:val="24"/>
              </w:rPr>
              <w:t>代表人签字：</w:t>
            </w:r>
          </w:p>
        </w:tc>
        <w:tc>
          <w:tcPr>
            <w:tcW w:w="4161" w:type="dxa"/>
          </w:tcPr>
          <w:p>
            <w:pPr>
              <w:spacing w:line="360" w:lineRule="auto"/>
              <w:rPr>
                <w:rFonts w:ascii="宋体" w:hAnsi="宋体"/>
                <w:b/>
                <w:sz w:val="24"/>
                <w:szCs w:val="24"/>
              </w:rPr>
            </w:pPr>
            <w:r>
              <w:rPr>
                <w:rFonts w:hint="eastAsia" w:ascii="宋体" w:hAnsi="宋体"/>
                <w:sz w:val="24"/>
                <w:szCs w:val="24"/>
              </w:rPr>
              <w:t>代表人签字：</w:t>
            </w:r>
          </w:p>
        </w:tc>
      </w:tr>
      <w:tr>
        <w:tblPrEx>
          <w:tblLayout w:type="fixed"/>
          <w:tblCellMar>
            <w:top w:w="0" w:type="dxa"/>
            <w:left w:w="108" w:type="dxa"/>
            <w:bottom w:w="0" w:type="dxa"/>
            <w:right w:w="108" w:type="dxa"/>
          </w:tblCellMar>
        </w:tblPrEx>
        <w:tc>
          <w:tcPr>
            <w:tcW w:w="4361" w:type="dxa"/>
          </w:tcPr>
          <w:p>
            <w:pPr>
              <w:spacing w:line="360" w:lineRule="auto"/>
              <w:jc w:val="right"/>
              <w:rPr>
                <w:rFonts w:ascii="宋体" w:hAnsi="宋体"/>
                <w:b/>
                <w:sz w:val="24"/>
                <w:szCs w:val="24"/>
              </w:rPr>
            </w:pPr>
            <w:r>
              <w:rPr>
                <w:rFonts w:hint="eastAsia" w:ascii="宋体" w:hAnsi="宋体"/>
                <w:sz w:val="24"/>
                <w:szCs w:val="24"/>
              </w:rPr>
              <w:t xml:space="preserve">年     月     日 </w:t>
            </w:r>
          </w:p>
        </w:tc>
        <w:tc>
          <w:tcPr>
            <w:tcW w:w="4161" w:type="dxa"/>
          </w:tcPr>
          <w:p>
            <w:pPr>
              <w:spacing w:line="360" w:lineRule="auto"/>
              <w:jc w:val="right"/>
              <w:rPr>
                <w:rFonts w:ascii="宋体" w:hAnsi="宋体"/>
                <w:b/>
                <w:sz w:val="24"/>
                <w:szCs w:val="24"/>
              </w:rPr>
            </w:pPr>
            <w:r>
              <w:rPr>
                <w:rFonts w:hint="eastAsia" w:ascii="宋体" w:hAnsi="宋体"/>
                <w:sz w:val="24"/>
                <w:szCs w:val="24"/>
              </w:rPr>
              <w:t>年     月     日</w:t>
            </w:r>
          </w:p>
        </w:tc>
      </w:tr>
    </w:tbl>
    <w:p>
      <w:pPr>
        <w:spacing w:line="360" w:lineRule="auto"/>
        <w:ind w:firstLine="600" w:firstLineChars="250"/>
        <w:jc w:val="left"/>
        <w:rPr>
          <w:rFonts w:ascii="宋体" w:hAnsi="宋体"/>
          <w:sz w:val="24"/>
        </w:rPr>
      </w:pPr>
    </w:p>
    <w:p>
      <w:pPr>
        <w:spacing w:line="360" w:lineRule="auto"/>
        <w:jc w:val="left"/>
        <w:rPr>
          <w:rFonts w:ascii="宋体" w:hAnsi="宋体"/>
          <w:sz w:val="24"/>
        </w:rPr>
      </w:pPr>
    </w:p>
    <w:p>
      <w:pPr>
        <w:spacing w:line="360" w:lineRule="auto"/>
        <w:ind w:firstLine="720" w:firstLineChars="300"/>
        <w:jc w:val="right"/>
        <w:rPr>
          <w:rFonts w:ascii="宋体" w:hAnsi="宋体"/>
          <w:sz w:val="24"/>
        </w:rPr>
      </w:pPr>
      <w:r>
        <w:rPr>
          <w:rFonts w:hint="eastAsia" w:ascii="宋体" w:hAnsi="宋体"/>
          <w:sz w:val="24"/>
        </w:rPr>
        <w:t>签署地：河南许昌</w:t>
      </w:r>
    </w:p>
    <w:p/>
    <w:p/>
    <w:p/>
    <w:p/>
    <w:p>
      <w:pPr>
        <w:pStyle w:val="2"/>
        <w:tabs>
          <w:tab w:val="clear" w:pos="5276"/>
        </w:tabs>
        <w:spacing w:line="720" w:lineRule="auto"/>
        <w:rPr>
          <w:sz w:val="44"/>
          <w:szCs w:val="44"/>
        </w:rPr>
      </w:pPr>
    </w:p>
    <w:p>
      <w:pPr>
        <w:pStyle w:val="2"/>
        <w:tabs>
          <w:tab w:val="clear" w:pos="5276"/>
        </w:tabs>
        <w:spacing w:line="720" w:lineRule="auto"/>
        <w:rPr>
          <w:sz w:val="44"/>
          <w:szCs w:val="44"/>
        </w:rPr>
      </w:pPr>
    </w:p>
    <w:p>
      <w:pPr>
        <w:pStyle w:val="2"/>
        <w:tabs>
          <w:tab w:val="clear" w:pos="5276"/>
        </w:tabs>
        <w:spacing w:line="720" w:lineRule="auto"/>
        <w:rPr>
          <w:sz w:val="44"/>
          <w:szCs w:val="44"/>
        </w:rPr>
      </w:pPr>
    </w:p>
    <w:p>
      <w:pPr>
        <w:pStyle w:val="2"/>
        <w:tabs>
          <w:tab w:val="clear" w:pos="5276"/>
        </w:tabs>
        <w:spacing w:line="720" w:lineRule="auto"/>
        <w:rPr>
          <w:sz w:val="44"/>
          <w:szCs w:val="44"/>
        </w:rPr>
      </w:pPr>
    </w:p>
    <w:p>
      <w:pPr>
        <w:pStyle w:val="2"/>
        <w:tabs>
          <w:tab w:val="clear" w:pos="5276"/>
        </w:tabs>
        <w:spacing w:line="720" w:lineRule="auto"/>
        <w:rPr>
          <w:sz w:val="44"/>
          <w:szCs w:val="44"/>
        </w:rPr>
      </w:pPr>
    </w:p>
    <w:p>
      <w:pPr>
        <w:pStyle w:val="2"/>
        <w:tabs>
          <w:tab w:val="clear" w:pos="5276"/>
        </w:tabs>
        <w:spacing w:line="720" w:lineRule="auto"/>
        <w:rPr>
          <w:rFonts w:hint="eastAsia"/>
          <w:sz w:val="44"/>
          <w:szCs w:val="44"/>
        </w:rPr>
      </w:pPr>
    </w:p>
    <w:p>
      <w:pPr>
        <w:pStyle w:val="2"/>
        <w:tabs>
          <w:tab w:val="clear" w:pos="5276"/>
        </w:tabs>
        <w:spacing w:line="720" w:lineRule="auto"/>
        <w:rPr>
          <w:rFonts w:hint="eastAsia"/>
          <w:sz w:val="44"/>
          <w:szCs w:val="44"/>
        </w:rPr>
      </w:pPr>
    </w:p>
    <w:p>
      <w:pPr>
        <w:pStyle w:val="2"/>
        <w:tabs>
          <w:tab w:val="clear" w:pos="5276"/>
        </w:tabs>
        <w:spacing w:line="720" w:lineRule="auto"/>
        <w:rPr>
          <w:sz w:val="44"/>
          <w:szCs w:val="44"/>
        </w:rPr>
      </w:pPr>
      <w:r>
        <w:rPr>
          <w:rFonts w:hint="eastAsia"/>
          <w:sz w:val="44"/>
          <w:szCs w:val="44"/>
        </w:rPr>
        <w:t>第七章  投标文件部分格式</w:t>
      </w:r>
    </w:p>
    <w:p>
      <w:pPr>
        <w:widowControl/>
        <w:jc w:val="right"/>
        <w:rPr>
          <w:sz w:val="32"/>
          <w:szCs w:val="32"/>
        </w:rPr>
      </w:pPr>
    </w:p>
    <w:p>
      <w:pPr>
        <w:rPr>
          <w:rFonts w:hint="eastAsia"/>
          <w:sz w:val="32"/>
          <w:szCs w:val="32"/>
        </w:rPr>
      </w:pPr>
      <w:r>
        <w:rPr>
          <w:rFonts w:hint="eastAsia"/>
          <w:sz w:val="32"/>
          <w:szCs w:val="32"/>
        </w:rPr>
        <w:br w:type="page"/>
      </w:r>
    </w:p>
    <w:p>
      <w:pPr>
        <w:widowControl/>
        <w:jc w:val="right"/>
        <w:rPr>
          <w:rFonts w:hint="eastAsia"/>
          <w:sz w:val="32"/>
          <w:szCs w:val="32"/>
        </w:rPr>
      </w:pPr>
    </w:p>
    <w:p>
      <w:pPr>
        <w:widowControl/>
        <w:jc w:val="right"/>
        <w:rPr>
          <w:rFonts w:hint="eastAsia"/>
          <w:sz w:val="32"/>
          <w:szCs w:val="32"/>
        </w:rPr>
      </w:pPr>
      <w:r>
        <w:rPr>
          <w:rFonts w:hint="eastAsia"/>
          <w:sz w:val="32"/>
          <w:szCs w:val="32"/>
        </w:rPr>
        <w:t>正（副）本</w:t>
      </w:r>
    </w:p>
    <w:p>
      <w:pPr>
        <w:widowControl/>
        <w:jc w:val="right"/>
        <w:rPr>
          <w:rFonts w:hint="eastAsia"/>
          <w:sz w:val="32"/>
          <w:szCs w:val="32"/>
        </w:rPr>
      </w:pPr>
    </w:p>
    <w:p>
      <w:pPr>
        <w:spacing w:line="360" w:lineRule="auto"/>
        <w:jc w:val="center"/>
        <w:rPr>
          <w:rFonts w:ascii="宋体" w:hAnsi="宋体"/>
          <w:b/>
          <w:bCs/>
          <w:sz w:val="48"/>
          <w:szCs w:val="48"/>
        </w:rPr>
      </w:pPr>
      <w:bookmarkStart w:id="4" w:name="_Hlk523863853"/>
      <w:r>
        <w:rPr>
          <w:rFonts w:hint="eastAsia" w:ascii="宋体" w:hAnsi="宋体"/>
          <w:b/>
          <w:bCs/>
          <w:sz w:val="48"/>
          <w:szCs w:val="48"/>
        </w:rPr>
        <w:t>中国邮政储蓄银行股份有限公司许昌市分行“许昌市分行2019年员工体检项目”</w:t>
      </w:r>
    </w:p>
    <w:p>
      <w:pPr>
        <w:pStyle w:val="17"/>
        <w:ind w:firstLine="210"/>
      </w:pPr>
    </w:p>
    <w:p>
      <w:pPr>
        <w:tabs>
          <w:tab w:val="center" w:pos="4739"/>
        </w:tabs>
        <w:ind w:left="180"/>
        <w:rPr>
          <w:sz w:val="24"/>
        </w:rPr>
      </w:pPr>
    </w:p>
    <w:p>
      <w:pPr>
        <w:tabs>
          <w:tab w:val="center" w:pos="4739"/>
        </w:tabs>
        <w:ind w:left="180"/>
        <w:jc w:val="center"/>
        <w:rPr>
          <w:b/>
          <w:sz w:val="72"/>
          <w:szCs w:val="72"/>
        </w:rPr>
      </w:pPr>
    </w:p>
    <w:p>
      <w:pPr>
        <w:tabs>
          <w:tab w:val="center" w:pos="4739"/>
        </w:tabs>
        <w:ind w:left="180"/>
        <w:jc w:val="center"/>
        <w:rPr>
          <w:b/>
          <w:sz w:val="72"/>
          <w:szCs w:val="72"/>
        </w:rPr>
      </w:pPr>
    </w:p>
    <w:p>
      <w:pPr>
        <w:tabs>
          <w:tab w:val="center" w:pos="4739"/>
        </w:tabs>
        <w:ind w:left="180"/>
        <w:jc w:val="center"/>
        <w:rPr>
          <w:b/>
          <w:sz w:val="72"/>
          <w:szCs w:val="72"/>
        </w:rPr>
      </w:pPr>
      <w:r>
        <w:rPr>
          <w:b/>
          <w:sz w:val="72"/>
          <w:szCs w:val="72"/>
        </w:rPr>
        <w:t>投标文件</w:t>
      </w:r>
    </w:p>
    <w:p>
      <w:pPr>
        <w:tabs>
          <w:tab w:val="center" w:pos="4739"/>
        </w:tabs>
        <w:ind w:left="180"/>
        <w:rPr>
          <w:sz w:val="24"/>
        </w:rPr>
      </w:pPr>
    </w:p>
    <w:p>
      <w:pPr>
        <w:tabs>
          <w:tab w:val="center" w:pos="4739"/>
        </w:tabs>
        <w:ind w:left="180"/>
        <w:rPr>
          <w:sz w:val="24"/>
        </w:rPr>
      </w:pPr>
    </w:p>
    <w:p>
      <w:pPr>
        <w:tabs>
          <w:tab w:val="center" w:pos="4739"/>
        </w:tabs>
        <w:ind w:left="180"/>
        <w:rPr>
          <w:b/>
          <w:sz w:val="32"/>
          <w:szCs w:val="32"/>
        </w:rPr>
      </w:pPr>
      <w:r>
        <w:rPr>
          <w:rFonts w:hint="eastAsia"/>
          <w:b/>
          <w:sz w:val="32"/>
          <w:szCs w:val="32"/>
        </w:rPr>
        <w:t xml:space="preserve">               项目编号：</w:t>
      </w:r>
    </w:p>
    <w:p>
      <w:pPr>
        <w:tabs>
          <w:tab w:val="center" w:pos="4739"/>
        </w:tabs>
        <w:ind w:left="180"/>
        <w:rPr>
          <w:sz w:val="24"/>
        </w:rPr>
      </w:pPr>
    </w:p>
    <w:p>
      <w:pPr>
        <w:tabs>
          <w:tab w:val="center" w:pos="4739"/>
        </w:tabs>
        <w:ind w:left="180"/>
        <w:rPr>
          <w:sz w:val="24"/>
        </w:rPr>
      </w:pPr>
    </w:p>
    <w:p>
      <w:pPr>
        <w:tabs>
          <w:tab w:val="center" w:pos="4739"/>
        </w:tabs>
        <w:ind w:left="180"/>
        <w:rPr>
          <w:sz w:val="24"/>
        </w:rPr>
      </w:pPr>
    </w:p>
    <w:p>
      <w:pPr>
        <w:tabs>
          <w:tab w:val="center" w:pos="4739"/>
        </w:tabs>
        <w:ind w:left="180"/>
        <w:rPr>
          <w:sz w:val="24"/>
        </w:rPr>
      </w:pPr>
    </w:p>
    <w:p>
      <w:pPr>
        <w:tabs>
          <w:tab w:val="center" w:pos="4739"/>
        </w:tabs>
        <w:ind w:left="180"/>
        <w:rPr>
          <w:sz w:val="24"/>
        </w:rPr>
      </w:pPr>
    </w:p>
    <w:p>
      <w:pPr>
        <w:tabs>
          <w:tab w:val="center" w:pos="4739"/>
        </w:tabs>
        <w:ind w:left="180"/>
        <w:jc w:val="center"/>
        <w:rPr>
          <w:b/>
          <w:sz w:val="32"/>
        </w:rPr>
      </w:pPr>
      <w:r>
        <w:rPr>
          <w:rFonts w:hint="eastAsia"/>
          <w:b/>
          <w:sz w:val="32"/>
        </w:rPr>
        <w:t>供应商:</w:t>
      </w:r>
      <w:r>
        <w:rPr>
          <w:rFonts w:hint="eastAsia"/>
          <w:b/>
          <w:sz w:val="32"/>
          <w:u w:val="single"/>
        </w:rPr>
        <w:t xml:space="preserve">                     </w:t>
      </w:r>
      <w:r>
        <w:rPr>
          <w:rFonts w:hint="eastAsia"/>
          <w:b/>
          <w:sz w:val="32"/>
        </w:rPr>
        <w:t>(盖单位章)</w:t>
      </w:r>
    </w:p>
    <w:p>
      <w:pPr>
        <w:tabs>
          <w:tab w:val="center" w:pos="4739"/>
        </w:tabs>
        <w:ind w:left="180"/>
        <w:jc w:val="center"/>
        <w:rPr>
          <w:b/>
          <w:sz w:val="32"/>
        </w:rPr>
      </w:pPr>
    </w:p>
    <w:p>
      <w:pPr>
        <w:tabs>
          <w:tab w:val="center" w:pos="4739"/>
        </w:tabs>
        <w:ind w:left="180"/>
        <w:jc w:val="center"/>
        <w:rPr>
          <w:b/>
          <w:sz w:val="32"/>
        </w:rPr>
      </w:pPr>
      <w:r>
        <w:rPr>
          <w:rFonts w:hint="eastAsia"/>
          <w:b/>
          <w:sz w:val="32"/>
        </w:rPr>
        <w:t>法人代表或其授权代表:</w:t>
      </w:r>
      <w:r>
        <w:rPr>
          <w:rFonts w:hint="eastAsia"/>
          <w:b/>
          <w:sz w:val="32"/>
          <w:u w:val="single"/>
        </w:rPr>
        <w:t xml:space="preserve">                     </w:t>
      </w:r>
      <w:r>
        <w:rPr>
          <w:rFonts w:hint="eastAsia"/>
          <w:b/>
          <w:sz w:val="32"/>
        </w:rPr>
        <w:t xml:space="preserve"> (签字)</w:t>
      </w:r>
    </w:p>
    <w:p>
      <w:pPr>
        <w:tabs>
          <w:tab w:val="center" w:pos="4739"/>
        </w:tabs>
        <w:ind w:left="180"/>
        <w:jc w:val="center"/>
        <w:rPr>
          <w:b/>
          <w:sz w:val="32"/>
        </w:rPr>
      </w:pPr>
    </w:p>
    <w:p>
      <w:pPr>
        <w:tabs>
          <w:tab w:val="center" w:pos="4739"/>
        </w:tabs>
        <w:ind w:left="180"/>
        <w:jc w:val="center"/>
        <w:rPr>
          <w:b/>
          <w:sz w:val="32"/>
        </w:rPr>
      </w:pPr>
      <w:r>
        <w:rPr>
          <w:rFonts w:hint="eastAsia"/>
          <w:b/>
          <w:sz w:val="32"/>
          <w:u w:val="single"/>
        </w:rPr>
        <w:t xml:space="preserve">      </w:t>
      </w:r>
      <w:r>
        <w:rPr>
          <w:rFonts w:hint="eastAsia"/>
          <w:b/>
          <w:sz w:val="32"/>
        </w:rPr>
        <w:t>年</w:t>
      </w:r>
      <w:r>
        <w:rPr>
          <w:rFonts w:hint="eastAsia"/>
          <w:b/>
          <w:sz w:val="32"/>
          <w:u w:val="single"/>
        </w:rPr>
        <w:t xml:space="preserve">     </w:t>
      </w:r>
      <w:r>
        <w:rPr>
          <w:rFonts w:hint="eastAsia"/>
          <w:b/>
          <w:sz w:val="32"/>
        </w:rPr>
        <w:t>月</w:t>
      </w:r>
      <w:r>
        <w:rPr>
          <w:rFonts w:hint="eastAsia"/>
          <w:b/>
          <w:sz w:val="32"/>
          <w:u w:val="single"/>
        </w:rPr>
        <w:t xml:space="preserve">      </w:t>
      </w:r>
      <w:r>
        <w:rPr>
          <w:rFonts w:hint="eastAsia"/>
          <w:b/>
          <w:sz w:val="32"/>
        </w:rPr>
        <w:t>日</w:t>
      </w:r>
    </w:p>
    <w:p>
      <w:pPr>
        <w:rPr>
          <w:rFonts w:hint="eastAsia"/>
          <w:b/>
          <w:sz w:val="32"/>
          <w:szCs w:val="32"/>
        </w:rPr>
      </w:pPr>
      <w:r>
        <w:rPr>
          <w:rFonts w:hint="eastAsia"/>
          <w:b/>
          <w:sz w:val="32"/>
          <w:szCs w:val="32"/>
        </w:rPr>
        <w:br w:type="page"/>
      </w:r>
    </w:p>
    <w:p>
      <w:pPr>
        <w:spacing w:line="360" w:lineRule="auto"/>
        <w:jc w:val="center"/>
        <w:rPr>
          <w:b/>
          <w:sz w:val="32"/>
          <w:szCs w:val="32"/>
        </w:rPr>
      </w:pPr>
      <w:r>
        <w:rPr>
          <w:rFonts w:hint="eastAsia"/>
          <w:b/>
          <w:sz w:val="32"/>
          <w:szCs w:val="32"/>
        </w:rPr>
        <w:t>目  录</w:t>
      </w:r>
    </w:p>
    <w:p>
      <w:pPr>
        <w:spacing w:line="360" w:lineRule="auto"/>
        <w:jc w:val="center"/>
        <w:rPr>
          <w:b/>
          <w:sz w:val="32"/>
          <w:szCs w:val="32"/>
        </w:rPr>
      </w:pPr>
    </w:p>
    <w:p>
      <w:pPr>
        <w:spacing w:line="360" w:lineRule="auto"/>
        <w:rPr>
          <w:b/>
          <w:sz w:val="28"/>
        </w:rPr>
      </w:pPr>
      <w:r>
        <w:rPr>
          <w:rFonts w:hint="eastAsia"/>
          <w:b/>
          <w:sz w:val="28"/>
        </w:rPr>
        <w:t>一、投 标 函</w:t>
      </w:r>
    </w:p>
    <w:p>
      <w:pPr>
        <w:spacing w:line="360" w:lineRule="auto"/>
        <w:rPr>
          <w:b/>
          <w:sz w:val="28"/>
        </w:rPr>
      </w:pPr>
      <w:r>
        <w:rPr>
          <w:rFonts w:hint="eastAsia"/>
          <w:b/>
          <w:sz w:val="28"/>
        </w:rPr>
        <w:t>二、报价一览表</w:t>
      </w:r>
    </w:p>
    <w:p>
      <w:pPr>
        <w:spacing w:line="360" w:lineRule="auto"/>
        <w:rPr>
          <w:b/>
          <w:sz w:val="28"/>
        </w:rPr>
      </w:pPr>
      <w:r>
        <w:rPr>
          <w:rFonts w:hint="eastAsia"/>
          <w:b/>
          <w:sz w:val="28"/>
        </w:rPr>
        <w:t>三、项目实施方案</w:t>
      </w:r>
    </w:p>
    <w:p>
      <w:pPr>
        <w:spacing w:line="360" w:lineRule="auto"/>
        <w:rPr>
          <w:b/>
          <w:sz w:val="28"/>
        </w:rPr>
      </w:pPr>
      <w:r>
        <w:rPr>
          <w:rFonts w:hint="eastAsia"/>
          <w:b/>
          <w:sz w:val="28"/>
        </w:rPr>
        <w:t>四、服务承诺</w:t>
      </w:r>
    </w:p>
    <w:p>
      <w:pPr>
        <w:spacing w:line="360" w:lineRule="auto"/>
        <w:rPr>
          <w:b/>
          <w:sz w:val="28"/>
        </w:rPr>
      </w:pPr>
      <w:r>
        <w:rPr>
          <w:rFonts w:hint="eastAsia"/>
          <w:b/>
          <w:sz w:val="28"/>
        </w:rPr>
        <w:t>五、资格证明文件</w:t>
      </w:r>
    </w:p>
    <w:p>
      <w:pPr>
        <w:spacing w:line="360" w:lineRule="auto"/>
        <w:rPr>
          <w:b/>
          <w:sz w:val="28"/>
        </w:rPr>
      </w:pPr>
      <w:r>
        <w:rPr>
          <w:rFonts w:hint="eastAsia"/>
          <w:b/>
          <w:sz w:val="28"/>
        </w:rPr>
        <w:t>六、承诺函</w:t>
      </w:r>
    </w:p>
    <w:p>
      <w:pPr>
        <w:spacing w:line="360" w:lineRule="auto"/>
        <w:rPr>
          <w:b/>
          <w:sz w:val="28"/>
        </w:rPr>
      </w:pPr>
      <w:r>
        <w:rPr>
          <w:rFonts w:hint="eastAsia"/>
          <w:b/>
          <w:sz w:val="28"/>
        </w:rPr>
        <w:t>七、反商业贿赂承诺书</w:t>
      </w:r>
    </w:p>
    <w:p>
      <w:pPr>
        <w:spacing w:line="360" w:lineRule="auto"/>
        <w:rPr>
          <w:b/>
          <w:sz w:val="28"/>
        </w:rPr>
      </w:pPr>
      <w:r>
        <w:rPr>
          <w:rFonts w:hint="eastAsia"/>
          <w:b/>
          <w:sz w:val="28"/>
        </w:rPr>
        <w:t>八、没有重大违法记录声明</w:t>
      </w:r>
    </w:p>
    <w:p>
      <w:pPr>
        <w:spacing w:line="360" w:lineRule="auto"/>
        <w:rPr>
          <w:b/>
          <w:sz w:val="28"/>
        </w:rPr>
      </w:pPr>
      <w:r>
        <w:rPr>
          <w:rFonts w:hint="eastAsia"/>
          <w:b/>
          <w:sz w:val="28"/>
        </w:rPr>
        <w:t>九、其他有关资料</w:t>
      </w:r>
    </w:p>
    <w:p>
      <w:pPr>
        <w:spacing w:line="360" w:lineRule="auto"/>
        <w:jc w:val="center"/>
        <w:rPr>
          <w:rFonts w:ascii="宋体" w:hAnsi="宋体"/>
          <w:b/>
          <w:sz w:val="28"/>
        </w:rPr>
      </w:pPr>
    </w:p>
    <w:p>
      <w:pPr>
        <w:spacing w:line="360" w:lineRule="auto"/>
        <w:jc w:val="center"/>
        <w:rPr>
          <w:rFonts w:ascii="宋体" w:hAnsi="宋体"/>
          <w:b/>
          <w:sz w:val="28"/>
        </w:rPr>
      </w:pPr>
    </w:p>
    <w:p>
      <w:pPr>
        <w:spacing w:line="360" w:lineRule="auto"/>
        <w:jc w:val="center"/>
        <w:rPr>
          <w:rFonts w:ascii="宋体" w:hAnsi="宋体"/>
          <w:b/>
          <w:sz w:val="28"/>
        </w:rPr>
      </w:pPr>
    </w:p>
    <w:p>
      <w:pPr>
        <w:spacing w:line="360" w:lineRule="auto"/>
        <w:jc w:val="center"/>
        <w:rPr>
          <w:rFonts w:ascii="宋体" w:hAnsi="宋体"/>
          <w:b/>
          <w:sz w:val="28"/>
        </w:rPr>
      </w:pPr>
    </w:p>
    <w:p>
      <w:pPr>
        <w:widowControl/>
        <w:jc w:val="left"/>
        <w:rPr>
          <w:rFonts w:ascii="宋体" w:hAnsi="宋体"/>
          <w:b/>
          <w:sz w:val="28"/>
        </w:rPr>
      </w:pPr>
      <w:r>
        <w:rPr>
          <w:rFonts w:ascii="宋体" w:hAnsi="宋体"/>
          <w:b/>
          <w:sz w:val="28"/>
        </w:rPr>
        <w:br w:type="page"/>
      </w:r>
    </w:p>
    <w:p>
      <w:pPr>
        <w:pStyle w:val="8"/>
        <w:spacing w:line="360" w:lineRule="auto"/>
        <w:jc w:val="center"/>
        <w:rPr>
          <w:rFonts w:ascii="宋体" w:hAnsi="宋体" w:eastAsia="宋体"/>
          <w:b/>
          <w:snapToGrid w:val="0"/>
          <w:kern w:val="0"/>
          <w:sz w:val="36"/>
          <w:szCs w:val="36"/>
        </w:rPr>
      </w:pPr>
      <w:r>
        <w:rPr>
          <w:rFonts w:hint="eastAsia" w:ascii="宋体" w:hAnsi="宋体"/>
          <w:b/>
          <w:sz w:val="28"/>
        </w:rPr>
        <w:t>一、</w:t>
      </w:r>
      <w:bookmarkStart w:id="5" w:name="_Toc457392804"/>
      <w:r>
        <w:rPr>
          <w:rFonts w:hint="eastAsia" w:ascii="宋体" w:hAnsi="宋体" w:eastAsia="宋体"/>
          <w:b/>
          <w:snapToGrid w:val="0"/>
          <w:kern w:val="0"/>
          <w:sz w:val="36"/>
          <w:szCs w:val="36"/>
        </w:rPr>
        <w:t>投 标 函</w:t>
      </w:r>
    </w:p>
    <w:p>
      <w:pPr>
        <w:keepNext w:val="0"/>
        <w:keepLines w:val="0"/>
        <w:pageBreakBefore w:val="0"/>
        <w:widowControl w:val="0"/>
        <w:kinsoku/>
        <w:wordWrap/>
        <w:overflowPunct/>
        <w:topLinePunct w:val="0"/>
        <w:autoSpaceDE/>
        <w:autoSpaceDN/>
        <w:bidi w:val="0"/>
        <w:adjustRightInd w:val="0"/>
        <w:spacing w:beforeAutospacing="0" w:afterAutospacing="0" w:line="360" w:lineRule="auto"/>
        <w:contextualSpacing/>
        <w:textAlignment w:val="auto"/>
        <w:rPr>
          <w:rFonts w:ascii="宋体" w:hAnsi="宋体"/>
          <w:b/>
          <w:snapToGrid w:val="0"/>
          <w:kern w:val="0"/>
          <w:sz w:val="24"/>
          <w:szCs w:val="24"/>
        </w:rPr>
      </w:pPr>
      <w:r>
        <w:rPr>
          <w:rFonts w:hint="eastAsia" w:ascii="宋体" w:hAnsi="宋体"/>
          <w:snapToGrid w:val="0"/>
          <w:kern w:val="0"/>
          <w:sz w:val="24"/>
          <w:szCs w:val="24"/>
        </w:rPr>
        <w:t>致：</w:t>
      </w:r>
      <w:r>
        <w:rPr>
          <w:rFonts w:hint="eastAsia" w:ascii="宋体" w:hAnsi="宋体"/>
          <w:b/>
          <w:snapToGrid w:val="0"/>
          <w:kern w:val="0"/>
          <w:sz w:val="24"/>
          <w:szCs w:val="24"/>
        </w:rPr>
        <w:t>（采购人）</w:t>
      </w:r>
    </w:p>
    <w:p>
      <w:pPr>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outlineLvl w:val="0"/>
        <w:rPr>
          <w:rFonts w:ascii="宋体" w:hAnsi="宋体"/>
          <w:snapToGrid w:val="0"/>
          <w:kern w:val="0"/>
          <w:sz w:val="24"/>
          <w:szCs w:val="24"/>
        </w:rPr>
      </w:pPr>
      <w:r>
        <w:rPr>
          <w:rFonts w:hint="eastAsia" w:ascii="宋体" w:hAnsi="宋体"/>
          <w:snapToGrid w:val="0"/>
          <w:kern w:val="0"/>
          <w:sz w:val="24"/>
          <w:szCs w:val="24"/>
        </w:rPr>
        <w:t>根据贵方</w:t>
      </w:r>
      <w:r>
        <w:rPr>
          <w:rFonts w:hint="eastAsia" w:ascii="宋体" w:hAnsi="宋体"/>
          <w:snapToGrid w:val="0"/>
          <w:kern w:val="0"/>
          <w:sz w:val="24"/>
          <w:szCs w:val="24"/>
          <w:u w:val="single"/>
          <w:lang w:val="en-US" w:eastAsia="zh-CN"/>
        </w:rPr>
        <w:t xml:space="preserve">             </w:t>
      </w:r>
      <w:r>
        <w:rPr>
          <w:rFonts w:hint="eastAsia" w:ascii="宋体" w:hAnsi="宋体"/>
          <w:snapToGrid w:val="0"/>
          <w:kern w:val="0"/>
          <w:sz w:val="24"/>
          <w:szCs w:val="24"/>
        </w:rPr>
        <w:t>（项目名称、项目编号）采购的招标公告及投标邀请，_______（姓名和职务）被正式授权并代表供应商（供应商名称、地址）提交。</w:t>
      </w:r>
    </w:p>
    <w:p>
      <w:pPr>
        <w:pStyle w:val="8"/>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eastAsia="宋体"/>
          <w:snapToGrid w:val="0"/>
          <w:kern w:val="0"/>
          <w:szCs w:val="24"/>
        </w:rPr>
      </w:pPr>
      <w:r>
        <w:rPr>
          <w:rFonts w:hint="eastAsia" w:ascii="宋体" w:hAnsi="宋体" w:eastAsia="宋体"/>
          <w:snapToGrid w:val="0"/>
          <w:kern w:val="0"/>
          <w:szCs w:val="24"/>
        </w:rPr>
        <w:t>我方确认收到贵方提供的（项目名称、项目编号）招标文件的全部内容。</w:t>
      </w:r>
    </w:p>
    <w:p>
      <w:pPr>
        <w:pStyle w:val="8"/>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eastAsia="宋体"/>
          <w:snapToGrid w:val="0"/>
          <w:kern w:val="0"/>
          <w:szCs w:val="24"/>
        </w:rPr>
      </w:pPr>
      <w:r>
        <w:rPr>
          <w:rFonts w:hint="eastAsia" w:ascii="宋体" w:hAnsi="宋体" w:eastAsia="宋体"/>
          <w:snapToGrid w:val="0"/>
          <w:kern w:val="0"/>
          <w:szCs w:val="24"/>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和</w:t>
      </w:r>
      <w:r>
        <w:rPr>
          <w:rFonts w:hint="eastAsia" w:ascii="宋体" w:hAnsi="宋体" w:eastAsia="宋体"/>
          <w:szCs w:val="24"/>
        </w:rPr>
        <w:t>已完全理解并接受招标文件的各项规定和要求及资金支付规定，对招标文件的合理性、合法性不再有异议。</w:t>
      </w:r>
    </w:p>
    <w:p>
      <w:pPr>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snapToGrid w:val="0"/>
          <w:kern w:val="0"/>
          <w:sz w:val="24"/>
          <w:szCs w:val="24"/>
        </w:rPr>
      </w:pPr>
      <w:r>
        <w:rPr>
          <w:rFonts w:hint="eastAsia" w:ascii="宋体" w:hAnsi="宋体"/>
          <w:i/>
          <w:snapToGrid w:val="0"/>
          <w:kern w:val="0"/>
          <w:sz w:val="24"/>
          <w:szCs w:val="24"/>
          <w:u w:val="single"/>
        </w:rPr>
        <w:t xml:space="preserve">(供应商名称)     </w:t>
      </w:r>
      <w:r>
        <w:rPr>
          <w:rFonts w:hint="eastAsia" w:ascii="宋体" w:hAnsi="宋体"/>
          <w:snapToGrid w:val="0"/>
          <w:kern w:val="0"/>
          <w:sz w:val="24"/>
          <w:szCs w:val="24"/>
        </w:rPr>
        <w:t>作为供应商正式授权</w:t>
      </w:r>
      <w:r>
        <w:rPr>
          <w:rFonts w:hint="eastAsia" w:ascii="宋体" w:hAnsi="宋体"/>
          <w:i/>
          <w:snapToGrid w:val="0"/>
          <w:kern w:val="0"/>
          <w:sz w:val="24"/>
          <w:szCs w:val="24"/>
          <w:u w:val="single"/>
        </w:rPr>
        <w:t xml:space="preserve">(授权代表全名, 职务)       </w:t>
      </w:r>
      <w:r>
        <w:rPr>
          <w:rFonts w:hint="eastAsia" w:ascii="宋体" w:hAnsi="宋体"/>
          <w:snapToGrid w:val="0"/>
          <w:kern w:val="0"/>
          <w:sz w:val="24"/>
          <w:szCs w:val="24"/>
        </w:rPr>
        <w:t>代表我方全权处理有关本投标的一切事宜。</w:t>
      </w:r>
    </w:p>
    <w:p>
      <w:pPr>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snapToGrid w:val="0"/>
          <w:kern w:val="0"/>
          <w:sz w:val="24"/>
          <w:szCs w:val="24"/>
        </w:rPr>
      </w:pPr>
      <w:r>
        <w:rPr>
          <w:rFonts w:hint="eastAsia" w:ascii="宋体" w:hAnsi="宋体"/>
          <w:snapToGrid w:val="0"/>
          <w:kern w:val="0"/>
          <w:sz w:val="24"/>
          <w:szCs w:val="24"/>
        </w:rPr>
        <w:t>在此提交的投标文件，正本一份，副本    份。</w:t>
      </w:r>
    </w:p>
    <w:p>
      <w:pPr>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cs="Courier New"/>
          <w:sz w:val="24"/>
          <w:szCs w:val="24"/>
        </w:rPr>
      </w:pPr>
      <w:r>
        <w:rPr>
          <w:rFonts w:hint="eastAsia" w:ascii="宋体" w:hAnsi="宋体" w:cs="Courier New"/>
          <w:sz w:val="24"/>
          <w:szCs w:val="24"/>
        </w:rPr>
        <w:t>我方已完全明白招标文件的所有条款要求，并申明如下：</w:t>
      </w:r>
    </w:p>
    <w:p>
      <w:pPr>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cs="Courier New"/>
          <w:sz w:val="24"/>
          <w:szCs w:val="24"/>
        </w:rPr>
      </w:pPr>
      <w:r>
        <w:rPr>
          <w:rFonts w:hint="eastAsia" w:ascii="宋体" w:hAnsi="宋体" w:cs="Courier New"/>
          <w:sz w:val="24"/>
          <w:szCs w:val="24"/>
        </w:rPr>
        <w:t>一、按招标文件提供的全部货物与相关服务的投标总价详见《开标一览表》。</w:t>
      </w:r>
    </w:p>
    <w:p>
      <w:pPr>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cs="Courier New"/>
          <w:sz w:val="24"/>
          <w:szCs w:val="24"/>
        </w:rPr>
      </w:pPr>
      <w:r>
        <w:rPr>
          <w:rFonts w:hint="eastAsia" w:ascii="宋体" w:hAnsi="宋体" w:cs="Courier New"/>
          <w:sz w:val="24"/>
          <w:szCs w:val="24"/>
        </w:rPr>
        <w:t>二、本投标文件的有效期为投标截止时间起</w:t>
      </w:r>
      <w:r>
        <w:rPr>
          <w:rFonts w:hint="eastAsia" w:ascii="宋体" w:hAnsi="宋体" w:cs="Courier New"/>
          <w:sz w:val="24"/>
          <w:szCs w:val="24"/>
          <w:u w:val="single"/>
        </w:rPr>
        <w:t xml:space="preserve">  </w:t>
      </w:r>
      <w:r>
        <w:rPr>
          <w:rFonts w:hint="eastAsia" w:ascii="宋体" w:hAnsi="宋体" w:cs="Courier New"/>
          <w:sz w:val="24"/>
          <w:szCs w:val="24"/>
        </w:rPr>
        <w:t>天。如中标，有效期将延至供货终止日为止。在此提交的资格证明文件均至投标截止日有效，如有在投标有效期内失效的，我方承诺在中标后补齐一切手续，保证所有资格证明文件能在签订采购合同时直至采购合同终止日有效。</w:t>
      </w:r>
    </w:p>
    <w:p>
      <w:pPr>
        <w:pStyle w:val="16"/>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eastAsia="宋体" w:cs="Courier New"/>
        </w:rPr>
      </w:pPr>
      <w:r>
        <w:rPr>
          <w:rFonts w:hint="eastAsia" w:ascii="宋体" w:hAnsi="宋体" w:eastAsia="宋体" w:cs="Courier New"/>
        </w:rPr>
        <w:t>三、我方明白并同意，在规定的开标日之后，投标有效期之内撤销投标的，则贵方将不予退还投标保证金。</w:t>
      </w:r>
    </w:p>
    <w:p>
      <w:pPr>
        <w:pStyle w:val="16"/>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eastAsia="宋体" w:cs="Courier New"/>
        </w:rPr>
      </w:pPr>
      <w:r>
        <w:rPr>
          <w:rFonts w:hint="eastAsia" w:ascii="宋体" w:hAnsi="宋体" w:eastAsia="宋体" w:cs="Courier New"/>
        </w:rPr>
        <w:t>四、我方同意按照贵方可能提出的要求而提供与投标有关的任何其它数据、信息或资料。</w:t>
      </w:r>
    </w:p>
    <w:p>
      <w:pPr>
        <w:pStyle w:val="16"/>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eastAsia="宋体" w:cs="Courier New"/>
        </w:rPr>
      </w:pPr>
      <w:r>
        <w:rPr>
          <w:rFonts w:hint="eastAsia" w:ascii="宋体" w:hAnsi="宋体" w:eastAsia="宋体" w:cs="Courier New"/>
        </w:rPr>
        <w:t>五、我方理解贵方不一定接受最低投标价或任何贵方可能收到的投标。</w:t>
      </w:r>
    </w:p>
    <w:p>
      <w:pPr>
        <w:pStyle w:val="16"/>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eastAsia="宋体" w:cs="Courier New"/>
        </w:rPr>
      </w:pPr>
      <w:r>
        <w:rPr>
          <w:rFonts w:hint="eastAsia" w:ascii="宋体" w:hAnsi="宋体" w:eastAsia="宋体" w:cs="Courier New"/>
        </w:rPr>
        <w:t>六、我方如果中标，将保证履行招标文件及其澄清、修改文件（如果有）中的全部责任和义务，按质、按量、按期完成《项目需求》及《合同书》中的全部任务。</w:t>
      </w:r>
    </w:p>
    <w:p>
      <w:pPr>
        <w:keepNext w:val="0"/>
        <w:keepLines w:val="0"/>
        <w:pageBreakBefore w:val="0"/>
        <w:widowControl w:val="0"/>
        <w:kinsoku/>
        <w:wordWrap/>
        <w:overflowPunct/>
        <w:topLinePunct w:val="0"/>
        <w:autoSpaceDE/>
        <w:autoSpaceDN/>
        <w:bidi w:val="0"/>
        <w:spacing w:beforeAutospacing="0" w:afterAutospacing="0" w:line="360" w:lineRule="auto"/>
        <w:ind w:firstLine="480" w:firstLineChars="200"/>
        <w:textAlignment w:val="auto"/>
        <w:rPr>
          <w:rFonts w:ascii="宋体" w:cs="Courier New"/>
          <w:sz w:val="24"/>
          <w:szCs w:val="24"/>
        </w:rPr>
      </w:pPr>
      <w:r>
        <w:rPr>
          <w:rFonts w:hint="eastAsia" w:ascii="宋体" w:hAnsi="宋体" w:cs="Courier New"/>
          <w:sz w:val="24"/>
          <w:szCs w:val="24"/>
        </w:rPr>
        <w:t>七、我方在此保证所提交的所有文件和全部说明是真实的和正确的</w:t>
      </w:r>
      <w:r>
        <w:rPr>
          <w:rFonts w:ascii="宋体" w:cs="Courier New"/>
          <w:sz w:val="24"/>
          <w:szCs w:val="24"/>
        </w:rPr>
        <w:t>,</w:t>
      </w:r>
      <w:r>
        <w:rPr>
          <w:rFonts w:hint="eastAsia" w:ascii="宋体" w:hAnsi="宋体" w:cs="Courier New"/>
          <w:sz w:val="24"/>
          <w:szCs w:val="24"/>
        </w:rPr>
        <w:t>未提供虚假的资格证书及业绩证明材料谋取中标，若存在虚假证书或者业绩证明材料的违规违法行为，承担法律责任，接受财政部门的处罚。</w:t>
      </w:r>
    </w:p>
    <w:p>
      <w:pPr>
        <w:pStyle w:val="8"/>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eastAsia="宋体"/>
          <w:szCs w:val="24"/>
        </w:rPr>
      </w:pPr>
      <w:r>
        <w:rPr>
          <w:rFonts w:hint="eastAsia" w:ascii="宋体" w:hAnsi="宋体" w:eastAsia="宋体"/>
          <w:szCs w:val="24"/>
        </w:rPr>
        <w:t xml:space="preserve">八、我方投标报价已包含应向知识产权所有权人支付的所有相关税费，并保证采购人在中国使用我方提供的货物时，如有第三方提出侵犯其知识产权主张的，责任由我方承担。 </w:t>
      </w:r>
    </w:p>
    <w:p>
      <w:pPr>
        <w:pStyle w:val="8"/>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eastAsia="宋体" w:cs="Arial"/>
          <w:szCs w:val="24"/>
        </w:rPr>
      </w:pPr>
      <w:r>
        <w:rPr>
          <w:rFonts w:hint="eastAsia" w:ascii="宋体" w:hAnsi="宋体" w:eastAsia="宋体" w:cs="Arial"/>
          <w:szCs w:val="24"/>
        </w:rPr>
        <w:t>九、我方具备《政府采购法》第二十二条规定的条件；承诺如下：</w:t>
      </w:r>
    </w:p>
    <w:p>
      <w:pPr>
        <w:pStyle w:val="8"/>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eastAsia="宋体" w:cs="Arial"/>
          <w:szCs w:val="24"/>
        </w:rPr>
      </w:pPr>
      <w:r>
        <w:rPr>
          <w:rFonts w:hint="eastAsia" w:ascii="宋体" w:hAnsi="宋体" w:eastAsia="宋体" w:cs="Arial"/>
          <w:szCs w:val="24"/>
        </w:rPr>
        <w:t>（1）具有独立承担民事责任能力的在中华人民共和国境内注册的法人或其他组织或自然人，有效的营业执照（或事业法人登记证或身份证等相关证明）。</w:t>
      </w:r>
    </w:p>
    <w:p>
      <w:pPr>
        <w:keepNext w:val="0"/>
        <w:keepLines w:val="0"/>
        <w:pageBreakBefore w:val="0"/>
        <w:widowControl w:val="0"/>
        <w:kinsoku/>
        <w:wordWrap/>
        <w:overflowPunct/>
        <w:topLinePunct w:val="0"/>
        <w:autoSpaceDE/>
        <w:autoSpaceDN/>
        <w:bidi w:val="0"/>
        <w:adjustRightInd w:val="0"/>
        <w:spacing w:beforeAutospacing="0" w:afterAutospacing="0" w:line="360" w:lineRule="auto"/>
        <w:ind w:firstLine="504" w:firstLineChars="210"/>
        <w:contextualSpacing/>
        <w:textAlignment w:val="auto"/>
        <w:rPr>
          <w:rFonts w:ascii="宋体" w:hAnsi="宋体" w:cs="Arial"/>
          <w:sz w:val="24"/>
          <w:szCs w:val="24"/>
        </w:rPr>
      </w:pPr>
      <w:r>
        <w:rPr>
          <w:rFonts w:hint="eastAsia" w:ascii="宋体" w:hAnsi="宋体" w:cs="Arial"/>
          <w:sz w:val="24"/>
          <w:szCs w:val="24"/>
        </w:rPr>
        <w:t>（2）我方已依法缴纳了各项税费及社会保险费用，如有需要，可随时向采购人提供近四个月内的相关缴费证明，以便核查。</w:t>
      </w:r>
    </w:p>
    <w:p>
      <w:pPr>
        <w:keepNext w:val="0"/>
        <w:keepLines w:val="0"/>
        <w:pageBreakBefore w:val="0"/>
        <w:widowControl w:val="0"/>
        <w:kinsoku/>
        <w:wordWrap/>
        <w:overflowPunct/>
        <w:topLinePunct w:val="0"/>
        <w:autoSpaceDE/>
        <w:autoSpaceDN/>
        <w:bidi w:val="0"/>
        <w:adjustRightInd w:val="0"/>
        <w:spacing w:beforeAutospacing="0" w:afterAutospacing="0" w:line="360" w:lineRule="auto"/>
        <w:ind w:firstLine="504" w:firstLineChars="210"/>
        <w:contextualSpacing/>
        <w:textAlignment w:val="auto"/>
        <w:rPr>
          <w:rFonts w:ascii="宋体" w:hAnsi="宋体" w:cs="Arial"/>
          <w:sz w:val="24"/>
          <w:szCs w:val="24"/>
        </w:rPr>
      </w:pPr>
      <w:r>
        <w:rPr>
          <w:rFonts w:hint="eastAsia" w:ascii="宋体" w:hAnsi="宋体" w:cs="Arial"/>
          <w:sz w:val="24"/>
          <w:szCs w:val="24"/>
        </w:rPr>
        <w:t>（3）我方已依法建立健全的财务会计制度，如有需要，可随时向采购人提供相关证明材料，以便核查。</w:t>
      </w:r>
    </w:p>
    <w:p>
      <w:pPr>
        <w:keepNext w:val="0"/>
        <w:keepLines w:val="0"/>
        <w:pageBreakBefore w:val="0"/>
        <w:widowControl w:val="0"/>
        <w:kinsoku/>
        <w:wordWrap/>
        <w:overflowPunct/>
        <w:topLinePunct w:val="0"/>
        <w:autoSpaceDE/>
        <w:autoSpaceDN/>
        <w:bidi w:val="0"/>
        <w:adjustRightInd w:val="0"/>
        <w:spacing w:beforeAutospacing="0" w:afterAutospacing="0" w:line="360" w:lineRule="auto"/>
        <w:ind w:firstLine="504" w:firstLineChars="210"/>
        <w:contextualSpacing/>
        <w:textAlignment w:val="auto"/>
        <w:rPr>
          <w:rFonts w:ascii="宋体" w:hAnsi="宋体" w:cs="Arial"/>
          <w:sz w:val="24"/>
          <w:szCs w:val="24"/>
        </w:rPr>
      </w:pPr>
      <w:r>
        <w:rPr>
          <w:rFonts w:hint="eastAsia" w:ascii="宋体" w:hAnsi="宋体" w:cs="Arial"/>
          <w:sz w:val="24"/>
          <w:szCs w:val="24"/>
        </w:rPr>
        <w:t>（4）参加政府采购活动前三年内，在经营活动中没有重大违法记录。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val="0"/>
        <w:spacing w:beforeAutospacing="0" w:afterAutospacing="0" w:line="360" w:lineRule="auto"/>
        <w:ind w:firstLine="504" w:firstLineChars="210"/>
        <w:contextualSpacing/>
        <w:textAlignment w:val="auto"/>
        <w:rPr>
          <w:rFonts w:ascii="宋体" w:hAnsi="宋体" w:cs="Arial"/>
          <w:sz w:val="24"/>
          <w:szCs w:val="24"/>
        </w:rPr>
      </w:pPr>
      <w:r>
        <w:rPr>
          <w:rFonts w:hint="eastAsia" w:ascii="宋体" w:hAnsi="宋体" w:cs="Arial"/>
          <w:sz w:val="24"/>
          <w:szCs w:val="24"/>
        </w:rPr>
        <w:t>（5）符合法律、行政法规规定的其他条件。</w:t>
      </w:r>
    </w:p>
    <w:p>
      <w:pPr>
        <w:keepNext w:val="0"/>
        <w:keepLines w:val="0"/>
        <w:pageBreakBefore w:val="0"/>
        <w:widowControl w:val="0"/>
        <w:kinsoku/>
        <w:wordWrap/>
        <w:overflowPunct/>
        <w:topLinePunct w:val="0"/>
        <w:autoSpaceDE/>
        <w:autoSpaceDN/>
        <w:bidi w:val="0"/>
        <w:adjustRightInd w:val="0"/>
        <w:spacing w:beforeAutospacing="0" w:afterAutospacing="0" w:line="360" w:lineRule="auto"/>
        <w:ind w:firstLine="504" w:firstLineChars="210"/>
        <w:contextualSpacing/>
        <w:textAlignment w:val="auto"/>
        <w:rPr>
          <w:rFonts w:ascii="宋体" w:hAnsi="宋体" w:cs="Arial"/>
          <w:sz w:val="24"/>
          <w:szCs w:val="24"/>
        </w:rPr>
      </w:pPr>
      <w:r>
        <w:rPr>
          <w:rFonts w:hint="eastAsia" w:ascii="宋体" w:hAnsi="宋体" w:cs="宋体"/>
          <w:sz w:val="24"/>
          <w:szCs w:val="24"/>
        </w:rPr>
        <w:t>以上内容如有虚假或与事实不符的，评审委员会可将</w:t>
      </w:r>
      <w:r>
        <w:rPr>
          <w:rFonts w:hint="eastAsia" w:ascii="宋体" w:hAnsi="宋体" w:cs="Arial"/>
          <w:sz w:val="24"/>
          <w:szCs w:val="24"/>
        </w:rPr>
        <w:t>我方做无效投标处理，我方愿意承担相应的法律责任。</w:t>
      </w:r>
    </w:p>
    <w:p>
      <w:pPr>
        <w:pStyle w:val="8"/>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eastAsia="宋体"/>
          <w:szCs w:val="24"/>
        </w:rPr>
      </w:pPr>
      <w:r>
        <w:rPr>
          <w:rFonts w:hint="eastAsia" w:ascii="宋体" w:hAnsi="宋体" w:eastAsia="宋体"/>
          <w:szCs w:val="24"/>
        </w:rPr>
        <w:t>十、我方具备履行合同所必需的设备和专业技术能力。</w:t>
      </w:r>
    </w:p>
    <w:p>
      <w:pPr>
        <w:pStyle w:val="8"/>
        <w:keepNext w:val="0"/>
        <w:keepLines w:val="0"/>
        <w:pageBreakBefore w:val="0"/>
        <w:widowControl w:val="0"/>
        <w:kinsoku/>
        <w:wordWrap/>
        <w:overflowPunct/>
        <w:topLinePunct w:val="0"/>
        <w:autoSpaceDE/>
        <w:autoSpaceDN/>
        <w:bidi w:val="0"/>
        <w:adjustRightInd w:val="0"/>
        <w:spacing w:beforeAutospacing="0" w:afterAutospacing="0" w:line="360" w:lineRule="auto"/>
        <w:ind w:firstLine="480" w:firstLineChars="200"/>
        <w:contextualSpacing/>
        <w:textAlignment w:val="auto"/>
        <w:rPr>
          <w:rFonts w:ascii="宋体" w:hAnsi="宋体" w:eastAsia="宋体"/>
          <w:szCs w:val="24"/>
        </w:rPr>
      </w:pPr>
      <w:r>
        <w:rPr>
          <w:rFonts w:hint="eastAsia" w:ascii="宋体" w:hAnsi="宋体" w:eastAsia="宋体"/>
          <w:snapToGrid w:val="0"/>
          <w:kern w:val="0"/>
          <w:szCs w:val="24"/>
        </w:rPr>
        <w:t>十一、</w:t>
      </w:r>
      <w:r>
        <w:rPr>
          <w:rFonts w:hint="eastAsia" w:ascii="宋体" w:hAnsi="宋体" w:eastAsia="宋体"/>
          <w:szCs w:val="24"/>
        </w:rPr>
        <w:t>我方对在本函及投标文件中所作的所有承诺承担法律责任。</w:t>
      </w:r>
    </w:p>
    <w:p>
      <w:pPr>
        <w:pStyle w:val="8"/>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textAlignment w:val="auto"/>
        <w:rPr>
          <w:rFonts w:ascii="宋体" w:hAnsi="宋体" w:eastAsia="宋体"/>
          <w:szCs w:val="24"/>
        </w:rPr>
      </w:pPr>
    </w:p>
    <w:p>
      <w:pPr>
        <w:pStyle w:val="8"/>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textAlignment w:val="auto"/>
        <w:rPr>
          <w:rFonts w:ascii="宋体" w:hAnsi="宋体" w:eastAsia="宋体"/>
          <w:szCs w:val="24"/>
        </w:rPr>
      </w:pPr>
      <w:r>
        <w:rPr>
          <w:rFonts w:hint="eastAsia" w:ascii="宋体" w:hAnsi="宋体" w:eastAsia="宋体"/>
          <w:szCs w:val="24"/>
        </w:rPr>
        <w:t>所有与本招标有关的一切正式往来请寄：</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textAlignment w:val="auto"/>
        <w:rPr>
          <w:rFonts w:ascii="宋体" w:hAnsi="宋体" w:cs="宋体"/>
          <w:sz w:val="24"/>
          <w:szCs w:val="24"/>
        </w:rPr>
      </w:pPr>
      <w:r>
        <w:rPr>
          <w:rFonts w:hint="eastAsia" w:ascii="宋体" w:hAnsi="宋体" w:cs="宋体"/>
          <w:sz w:val="24"/>
          <w:szCs w:val="24"/>
        </w:rPr>
        <w:t>地    址：.  邮政编码：.</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textAlignment w:val="auto"/>
        <w:rPr>
          <w:rFonts w:ascii="宋体" w:hAnsi="宋体" w:cs="宋体"/>
          <w:sz w:val="24"/>
          <w:szCs w:val="24"/>
        </w:rPr>
      </w:pPr>
      <w:r>
        <w:rPr>
          <w:rFonts w:hint="eastAsia" w:ascii="宋体" w:hAnsi="宋体" w:cs="宋体"/>
          <w:sz w:val="24"/>
          <w:szCs w:val="24"/>
        </w:rPr>
        <w:t>电    话：.  传    真：.</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textAlignment w:val="auto"/>
        <w:rPr>
          <w:rFonts w:ascii="宋体" w:hAnsi="宋体" w:cs="宋体"/>
          <w:sz w:val="24"/>
          <w:szCs w:val="24"/>
          <w:u w:val="single"/>
        </w:rPr>
      </w:pPr>
      <w:r>
        <w:rPr>
          <w:rFonts w:hint="eastAsia" w:ascii="宋体" w:hAnsi="宋体" w:cs="宋体"/>
          <w:sz w:val="24"/>
          <w:szCs w:val="24"/>
        </w:rPr>
        <w:t>供应商代表姓名：.  职    务：.</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textAlignment w:val="auto"/>
        <w:rPr>
          <w:rFonts w:ascii="宋体" w:hAnsi="宋体" w:cs="宋体"/>
          <w:sz w:val="24"/>
          <w:szCs w:val="24"/>
        </w:rPr>
      </w:pPr>
      <w:r>
        <w:rPr>
          <w:rFonts w:hint="eastAsia" w:ascii="宋体" w:hAnsi="宋体" w:cs="宋体"/>
          <w:sz w:val="24"/>
          <w:szCs w:val="24"/>
        </w:rPr>
        <w:t>供应商法定代表人（或法定代表人授权代表）签字或盖章：</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textAlignment w:val="auto"/>
        <w:rPr>
          <w:rFonts w:ascii="宋体" w:hAnsi="宋体" w:cs="宋体"/>
          <w:sz w:val="24"/>
          <w:szCs w:val="24"/>
        </w:rPr>
      </w:pPr>
      <w:r>
        <w:rPr>
          <w:rFonts w:hint="eastAsia" w:ascii="宋体" w:hAnsi="宋体" w:cs="宋体"/>
          <w:sz w:val="24"/>
          <w:szCs w:val="24"/>
        </w:rPr>
        <w:t>供应商名称（盖章）：</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firstLine="4920" w:firstLineChars="2050"/>
        <w:textAlignment w:val="auto"/>
        <w:rPr>
          <w:rFonts w:ascii="宋体" w:hAnsi="宋体" w:cs="宋体"/>
          <w:sz w:val="24"/>
          <w:szCs w:val="24"/>
        </w:rPr>
      </w:pPr>
      <w:r>
        <w:rPr>
          <w:rFonts w:hint="eastAsia" w:ascii="宋体" w:hAnsi="宋体" w:cs="宋体"/>
          <w:sz w:val="24"/>
          <w:szCs w:val="24"/>
        </w:rPr>
        <w:t>日期：   年   月   日</w:t>
      </w:r>
    </w:p>
    <w:p>
      <w:pPr>
        <w:keepNext w:val="0"/>
        <w:keepLines w:val="0"/>
        <w:pageBreakBefore w:val="0"/>
        <w:widowControl w:val="0"/>
        <w:kinsoku/>
        <w:wordWrap/>
        <w:overflowPunct/>
        <w:topLinePunct w:val="0"/>
        <w:autoSpaceDE/>
        <w:autoSpaceDN/>
        <w:bidi w:val="0"/>
        <w:spacing w:beforeAutospacing="0" w:afterAutospacing="0" w:line="360" w:lineRule="auto"/>
        <w:jc w:val="center"/>
        <w:textAlignment w:val="auto"/>
        <w:rPr>
          <w:rFonts w:ascii="宋体" w:hAnsi="宋体"/>
          <w:b/>
          <w:sz w:val="28"/>
        </w:rPr>
      </w:pPr>
      <w:r>
        <w:rPr>
          <w:rFonts w:ascii="宋体" w:hAnsi="宋体"/>
          <w:b/>
          <w:sz w:val="28"/>
        </w:rPr>
        <w:br w:type="page"/>
      </w:r>
    </w:p>
    <w:p>
      <w:pPr>
        <w:spacing w:line="360" w:lineRule="auto"/>
        <w:jc w:val="center"/>
        <w:rPr>
          <w:rFonts w:ascii="宋体" w:hAnsi="宋体"/>
          <w:b/>
          <w:sz w:val="28"/>
        </w:rPr>
      </w:pPr>
      <w:r>
        <w:rPr>
          <w:rFonts w:hint="eastAsia" w:ascii="宋体" w:hAnsi="宋体"/>
          <w:b/>
          <w:sz w:val="28"/>
        </w:rPr>
        <w:t>二、报价一览表</w:t>
      </w:r>
      <w:bookmarkEnd w:id="5"/>
    </w:p>
    <w:p>
      <w:pPr>
        <w:spacing w:line="360" w:lineRule="auto"/>
        <w:ind w:firstLine="140" w:firstLineChars="50"/>
        <w:rPr>
          <w:sz w:val="28"/>
        </w:rPr>
      </w:pPr>
    </w:p>
    <w:p>
      <w:pPr>
        <w:spacing w:line="360" w:lineRule="auto"/>
        <w:jc w:val="center"/>
        <w:rPr>
          <w:b/>
          <w:sz w:val="24"/>
        </w:rPr>
      </w:pPr>
      <w:r>
        <w:rPr>
          <w:rFonts w:hint="eastAsia"/>
          <w:b/>
          <w:sz w:val="24"/>
        </w:rPr>
        <w:t xml:space="preserve">                                                        单位：元</w:t>
      </w:r>
    </w:p>
    <w:tbl>
      <w:tblPr>
        <w:tblStyle w:val="18"/>
        <w:tblW w:w="907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4"/>
        <w:gridCol w:w="14"/>
        <w:gridCol w:w="6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293" w:hRule="atLeast"/>
        </w:trPr>
        <w:tc>
          <w:tcPr>
            <w:tcW w:w="2488" w:type="dxa"/>
            <w:gridSpan w:val="2"/>
            <w:vAlign w:val="center"/>
          </w:tcPr>
          <w:p>
            <w:pPr>
              <w:spacing w:line="360" w:lineRule="auto"/>
              <w:jc w:val="center"/>
              <w:rPr>
                <w:sz w:val="24"/>
              </w:rPr>
            </w:pPr>
            <w:r>
              <w:rPr>
                <w:rFonts w:hint="eastAsia"/>
                <w:sz w:val="24"/>
              </w:rPr>
              <w:t>项目名称</w:t>
            </w:r>
          </w:p>
        </w:tc>
        <w:tc>
          <w:tcPr>
            <w:tcW w:w="6585" w:type="dxa"/>
            <w:vAlign w:val="center"/>
          </w:tcPr>
          <w:p>
            <w:pPr>
              <w:spacing w:line="360" w:lineRule="auto"/>
              <w:jc w:val="center"/>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3" w:hRule="atLeast"/>
        </w:trPr>
        <w:tc>
          <w:tcPr>
            <w:tcW w:w="2488" w:type="dxa"/>
            <w:gridSpan w:val="2"/>
            <w:vAlign w:val="center"/>
          </w:tcPr>
          <w:p>
            <w:pPr>
              <w:spacing w:line="360" w:lineRule="auto"/>
              <w:jc w:val="center"/>
              <w:rPr>
                <w:sz w:val="24"/>
              </w:rPr>
            </w:pPr>
            <w:r>
              <w:rPr>
                <w:rFonts w:hint="eastAsia"/>
                <w:sz w:val="24"/>
              </w:rPr>
              <w:t>供应商名称</w:t>
            </w:r>
          </w:p>
        </w:tc>
        <w:tc>
          <w:tcPr>
            <w:tcW w:w="6585" w:type="dxa"/>
            <w:vAlign w:val="center"/>
          </w:tcPr>
          <w:p>
            <w:pPr>
              <w:spacing w:line="360" w:lineRule="auto"/>
              <w:jc w:val="center"/>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3" w:hRule="atLeast"/>
        </w:trPr>
        <w:tc>
          <w:tcPr>
            <w:tcW w:w="2474" w:type="dxa"/>
            <w:vAlign w:val="center"/>
          </w:tcPr>
          <w:p>
            <w:pPr>
              <w:spacing w:line="360" w:lineRule="auto"/>
              <w:jc w:val="center"/>
              <w:rPr>
                <w:sz w:val="24"/>
                <w:u w:val="single"/>
              </w:rPr>
            </w:pPr>
            <w:r>
              <w:rPr>
                <w:rFonts w:hint="eastAsia"/>
                <w:sz w:val="24"/>
              </w:rPr>
              <w:t>报价（首次）</w:t>
            </w:r>
          </w:p>
        </w:tc>
        <w:tc>
          <w:tcPr>
            <w:tcW w:w="6599" w:type="dxa"/>
            <w:gridSpan w:val="2"/>
            <w:vAlign w:val="center"/>
          </w:tcPr>
          <w:p>
            <w:pPr>
              <w:jc w:val="left"/>
              <w:rPr>
                <w:sz w:val="24"/>
              </w:rPr>
            </w:pPr>
            <w:r>
              <w:rPr>
                <w:rFonts w:hint="eastAsia"/>
                <w:sz w:val="24"/>
              </w:rPr>
              <w:t>（大写）</w:t>
            </w:r>
          </w:p>
          <w:p>
            <w:pPr>
              <w:spacing w:line="360" w:lineRule="auto"/>
              <w:jc w:val="left"/>
              <w:rPr>
                <w:sz w:val="24"/>
                <w:u w:val="single"/>
              </w:rPr>
            </w:pPr>
            <w:r>
              <w:rPr>
                <w:rFonts w:hint="eastAsia"/>
                <w:sz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3" w:hRule="atLeast"/>
        </w:trPr>
        <w:tc>
          <w:tcPr>
            <w:tcW w:w="2488" w:type="dxa"/>
            <w:gridSpan w:val="2"/>
            <w:vAlign w:val="center"/>
          </w:tcPr>
          <w:p>
            <w:pPr>
              <w:spacing w:line="360" w:lineRule="auto"/>
              <w:jc w:val="center"/>
              <w:rPr>
                <w:sz w:val="24"/>
                <w:szCs w:val="24"/>
              </w:rPr>
            </w:pPr>
            <w:r>
              <w:rPr>
                <w:rFonts w:hint="eastAsia" w:cs="Arial"/>
                <w:sz w:val="24"/>
                <w:szCs w:val="24"/>
              </w:rPr>
              <w:t>交付（服务）时间：</w:t>
            </w:r>
          </w:p>
        </w:tc>
        <w:tc>
          <w:tcPr>
            <w:tcW w:w="6585" w:type="dxa"/>
            <w:vAlign w:val="center"/>
          </w:tcPr>
          <w:p>
            <w:pPr>
              <w:spacing w:line="360" w:lineRule="auto"/>
              <w:jc w:val="center"/>
              <w:rPr>
                <w:sz w:val="24"/>
              </w:rPr>
            </w:pPr>
            <w:r>
              <w:rPr>
                <w:rFonts w:hint="eastAsia" w:cs="Arial"/>
                <w:sz w:val="24"/>
                <w:szCs w:val="24"/>
              </w:rPr>
              <w:t>签订合同后</w:t>
            </w:r>
            <w:r>
              <w:rPr>
                <w:rFonts w:hint="eastAsia" w:cs="Arial"/>
                <w:sz w:val="24"/>
                <w:szCs w:val="24"/>
                <w:u w:val="single"/>
              </w:rPr>
              <w:t xml:space="preserve">   </w:t>
            </w:r>
            <w:r>
              <w:rPr>
                <w:rFonts w:hint="eastAsia" w:cs="Arial"/>
                <w:sz w:val="24"/>
                <w:szCs w:val="24"/>
              </w:rPr>
              <w:t>日历天。</w:t>
            </w:r>
          </w:p>
        </w:tc>
      </w:tr>
    </w:tbl>
    <w:p>
      <w:pPr>
        <w:spacing w:line="360" w:lineRule="auto"/>
        <w:rPr>
          <w:sz w:val="28"/>
        </w:rPr>
      </w:pPr>
    </w:p>
    <w:p>
      <w:pPr>
        <w:spacing w:line="360" w:lineRule="auto"/>
        <w:ind w:firstLine="840"/>
        <w:rPr>
          <w:rFonts w:ascii="宋体" w:hAnsi="宋体"/>
          <w:sz w:val="24"/>
        </w:rPr>
      </w:pPr>
      <w:bookmarkStart w:id="6" w:name="_Toc457392806"/>
      <w:r>
        <w:rPr>
          <w:rFonts w:hint="eastAsia" w:ascii="宋体" w:hAnsi="宋体"/>
          <w:sz w:val="24"/>
        </w:rPr>
        <w:t>供应商（公章）：</w:t>
      </w:r>
    </w:p>
    <w:p>
      <w:pPr>
        <w:spacing w:line="360" w:lineRule="auto"/>
        <w:ind w:firstLine="840"/>
        <w:rPr>
          <w:rFonts w:ascii="宋体" w:hAnsi="宋体"/>
          <w:sz w:val="24"/>
        </w:rPr>
      </w:pPr>
      <w:r>
        <w:rPr>
          <w:rFonts w:hint="eastAsia" w:ascii="宋体" w:hAnsi="宋体"/>
          <w:sz w:val="24"/>
        </w:rPr>
        <w:t>供应商法人代表或其授权代表：</w:t>
      </w:r>
    </w:p>
    <w:p>
      <w:pPr>
        <w:spacing w:line="360" w:lineRule="auto"/>
        <w:jc w:val="right"/>
        <w:rPr>
          <w:rFonts w:ascii="宋体" w:hAnsi="宋体"/>
          <w:sz w:val="24"/>
          <w:u w:val="single"/>
        </w:rPr>
      </w:pPr>
      <w:r>
        <w:rPr>
          <w:rFonts w:hint="eastAsia" w:ascii="宋体" w:hAnsi="宋体"/>
          <w:sz w:val="24"/>
        </w:rPr>
        <w:t xml:space="preserve">       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widowControl/>
        <w:jc w:val="left"/>
        <w:rPr>
          <w:rFonts w:ascii="Cambria" w:hAnsi="Cambria" w:eastAsia="宋体" w:cs="宋体"/>
          <w:b/>
          <w:bCs/>
          <w:sz w:val="32"/>
          <w:szCs w:val="32"/>
        </w:rPr>
      </w:pPr>
      <w:r>
        <w:br w:type="page"/>
      </w:r>
    </w:p>
    <w:p>
      <w:pPr>
        <w:spacing w:line="360" w:lineRule="auto"/>
        <w:jc w:val="center"/>
        <w:rPr>
          <w:rFonts w:ascii="宋体" w:hAnsi="宋体"/>
          <w:b/>
          <w:sz w:val="28"/>
        </w:rPr>
      </w:pPr>
      <w:r>
        <w:rPr>
          <w:rFonts w:hint="eastAsia" w:ascii="宋体" w:hAnsi="宋体"/>
          <w:b/>
          <w:sz w:val="28"/>
        </w:rPr>
        <w:t>三、项目实施方案</w:t>
      </w:r>
      <w:bookmarkEnd w:id="6"/>
      <w:r>
        <w:rPr>
          <w:rFonts w:hint="eastAsia" w:ascii="宋体" w:hAnsi="宋体"/>
          <w:b/>
          <w:sz w:val="28"/>
        </w:rPr>
        <w:t>（技术方案）</w:t>
      </w:r>
    </w:p>
    <w:p>
      <w:pPr>
        <w:spacing w:line="360" w:lineRule="auto"/>
        <w:ind w:firstLine="120" w:firstLineChars="50"/>
        <w:jc w:val="center"/>
        <w:rPr>
          <w:rFonts w:ascii="宋体" w:hAnsi="宋体"/>
          <w:bCs/>
          <w:sz w:val="24"/>
          <w:szCs w:val="24"/>
        </w:rPr>
      </w:pPr>
      <w:r>
        <w:rPr>
          <w:rFonts w:hint="eastAsia" w:ascii="宋体" w:hAnsi="宋体"/>
          <w:bCs/>
          <w:sz w:val="24"/>
          <w:szCs w:val="24"/>
        </w:rPr>
        <w:t>（本部份格式自拟）</w:t>
      </w:r>
    </w:p>
    <w:p/>
    <w:p/>
    <w:p/>
    <w:p/>
    <w:p/>
    <w:p>
      <w:pPr>
        <w:spacing w:line="360" w:lineRule="auto"/>
        <w:ind w:firstLine="840"/>
        <w:rPr>
          <w:rFonts w:ascii="宋体" w:hAnsi="宋体"/>
          <w:sz w:val="24"/>
        </w:rPr>
      </w:pPr>
      <w:bookmarkStart w:id="7" w:name="_Toc457392808"/>
      <w:r>
        <w:rPr>
          <w:rFonts w:hint="eastAsia" w:ascii="宋体" w:hAnsi="宋体"/>
          <w:sz w:val="24"/>
        </w:rPr>
        <w:t>供应商（公章）：</w:t>
      </w:r>
    </w:p>
    <w:p>
      <w:pPr>
        <w:spacing w:line="360" w:lineRule="auto"/>
        <w:ind w:firstLine="840"/>
        <w:rPr>
          <w:rFonts w:ascii="宋体" w:hAnsi="宋体"/>
          <w:sz w:val="24"/>
        </w:rPr>
      </w:pPr>
      <w:r>
        <w:rPr>
          <w:rFonts w:hint="eastAsia" w:ascii="宋体" w:hAnsi="宋体"/>
          <w:sz w:val="24"/>
        </w:rPr>
        <w:t>供应商法人代表或其授权代表：</w:t>
      </w:r>
    </w:p>
    <w:p>
      <w:pPr>
        <w:spacing w:line="360" w:lineRule="auto"/>
        <w:jc w:val="right"/>
        <w:rPr>
          <w:rFonts w:ascii="宋体" w:hAnsi="宋体"/>
          <w:sz w:val="24"/>
          <w:u w:val="single"/>
        </w:rPr>
      </w:pPr>
      <w:r>
        <w:rPr>
          <w:rFonts w:hint="eastAsia" w:ascii="宋体" w:hAnsi="宋体"/>
          <w:sz w:val="24"/>
        </w:rPr>
        <w:t xml:space="preserve">       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jc w:val="center"/>
        <w:rPr>
          <w:rFonts w:ascii="宋体" w:hAnsi="宋体"/>
          <w:b/>
          <w:sz w:val="28"/>
        </w:rPr>
      </w:pPr>
    </w:p>
    <w:p>
      <w:pPr>
        <w:spacing w:line="360" w:lineRule="auto"/>
        <w:jc w:val="center"/>
        <w:rPr>
          <w:rFonts w:ascii="宋体" w:hAnsi="宋体"/>
          <w:b/>
          <w:sz w:val="28"/>
        </w:rPr>
      </w:pPr>
    </w:p>
    <w:p>
      <w:pPr>
        <w:widowControl/>
        <w:jc w:val="left"/>
        <w:rPr>
          <w:rFonts w:ascii="宋体" w:hAnsi="宋体"/>
          <w:b/>
          <w:sz w:val="28"/>
        </w:rPr>
      </w:pPr>
      <w:r>
        <w:rPr>
          <w:rFonts w:ascii="宋体" w:hAnsi="宋体"/>
          <w:b/>
          <w:sz w:val="28"/>
        </w:rPr>
        <w:br w:type="page"/>
      </w:r>
    </w:p>
    <w:p>
      <w:pPr>
        <w:spacing w:line="360" w:lineRule="auto"/>
        <w:jc w:val="center"/>
        <w:rPr>
          <w:rFonts w:ascii="宋体" w:hAnsi="宋体"/>
          <w:b/>
          <w:sz w:val="28"/>
        </w:rPr>
      </w:pPr>
      <w:r>
        <w:rPr>
          <w:rFonts w:hint="eastAsia" w:ascii="宋体" w:hAnsi="宋体"/>
          <w:b/>
          <w:sz w:val="28"/>
        </w:rPr>
        <w:t>四、服务承诺</w:t>
      </w:r>
      <w:bookmarkEnd w:id="7"/>
    </w:p>
    <w:p/>
    <w:p/>
    <w:p/>
    <w:p/>
    <w:p>
      <w:pPr>
        <w:spacing w:line="360" w:lineRule="auto"/>
        <w:ind w:firstLine="120" w:firstLineChars="50"/>
        <w:jc w:val="center"/>
        <w:rPr>
          <w:rFonts w:ascii="宋体" w:hAnsi="宋体"/>
          <w:bCs/>
          <w:sz w:val="24"/>
          <w:szCs w:val="24"/>
        </w:rPr>
      </w:pPr>
      <w:r>
        <w:rPr>
          <w:rFonts w:hint="eastAsia" w:ascii="宋体" w:hAnsi="宋体"/>
          <w:bCs/>
          <w:sz w:val="24"/>
          <w:szCs w:val="24"/>
        </w:rPr>
        <w:t>（本部分格式自拟）</w:t>
      </w:r>
    </w:p>
    <w:p/>
    <w:p/>
    <w:p/>
    <w:p/>
    <w:p/>
    <w:p/>
    <w:p/>
    <w:p/>
    <w:p/>
    <w:p>
      <w:pPr>
        <w:spacing w:line="360" w:lineRule="auto"/>
        <w:ind w:firstLine="840"/>
        <w:rPr>
          <w:rFonts w:ascii="宋体" w:hAnsi="宋体"/>
          <w:sz w:val="24"/>
        </w:rPr>
      </w:pPr>
      <w:r>
        <w:rPr>
          <w:rFonts w:hint="eastAsia" w:ascii="宋体" w:hAnsi="宋体"/>
          <w:sz w:val="24"/>
        </w:rPr>
        <w:t>供应商（公章）：</w:t>
      </w:r>
    </w:p>
    <w:p>
      <w:pPr>
        <w:spacing w:line="360" w:lineRule="auto"/>
        <w:ind w:firstLine="840"/>
        <w:rPr>
          <w:rFonts w:ascii="宋体" w:hAnsi="宋体"/>
          <w:sz w:val="24"/>
        </w:rPr>
      </w:pPr>
      <w:r>
        <w:rPr>
          <w:rFonts w:hint="eastAsia" w:ascii="宋体" w:hAnsi="宋体"/>
          <w:sz w:val="24"/>
        </w:rPr>
        <w:t>供应商法人代表或其授权代表：</w:t>
      </w:r>
    </w:p>
    <w:p>
      <w:pPr>
        <w:spacing w:line="360" w:lineRule="auto"/>
        <w:jc w:val="right"/>
        <w:rPr>
          <w:rFonts w:ascii="宋体" w:hAnsi="宋体"/>
          <w:sz w:val="24"/>
          <w:u w:val="single"/>
        </w:rPr>
      </w:pPr>
      <w:r>
        <w:rPr>
          <w:rFonts w:hint="eastAsia" w:ascii="宋体" w:hAnsi="宋体"/>
          <w:sz w:val="24"/>
        </w:rPr>
        <w:t xml:space="preserve">       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rPr>
          <w:b/>
        </w:rPr>
      </w:pPr>
    </w:p>
    <w:p>
      <w:pPr>
        <w:rPr>
          <w:b/>
        </w:rPr>
      </w:pPr>
      <w:r>
        <w:rPr>
          <w:b/>
        </w:rPr>
        <w:br w:type="page"/>
      </w:r>
    </w:p>
    <w:p>
      <w:pPr>
        <w:spacing w:line="360" w:lineRule="auto"/>
        <w:jc w:val="center"/>
        <w:rPr>
          <w:rFonts w:ascii="宋体" w:hAnsi="宋体"/>
          <w:b/>
          <w:sz w:val="28"/>
        </w:rPr>
      </w:pPr>
      <w:bookmarkStart w:id="8" w:name="_Toc457392809"/>
      <w:r>
        <w:rPr>
          <w:rFonts w:hint="eastAsia" w:ascii="宋体" w:hAnsi="宋体"/>
          <w:b/>
          <w:sz w:val="28"/>
        </w:rPr>
        <w:t>五、资格证明文件</w:t>
      </w:r>
      <w:bookmarkEnd w:id="8"/>
    </w:p>
    <w:p>
      <w:pPr>
        <w:spacing w:line="360" w:lineRule="auto"/>
        <w:jc w:val="center"/>
        <w:rPr>
          <w:rFonts w:ascii="宋体" w:hAnsi="宋体"/>
          <w:b/>
          <w:sz w:val="24"/>
          <w:szCs w:val="24"/>
        </w:rPr>
      </w:pPr>
      <w:r>
        <w:rPr>
          <w:rFonts w:hint="eastAsia" w:ascii="宋体" w:hAnsi="宋体"/>
          <w:b/>
          <w:sz w:val="24"/>
          <w:szCs w:val="24"/>
        </w:rPr>
        <w:t>5．1</w:t>
      </w:r>
      <w:r>
        <w:rPr>
          <w:rFonts w:ascii="宋体" w:hAnsi="宋体"/>
          <w:b/>
          <w:sz w:val="24"/>
          <w:szCs w:val="24"/>
        </w:rPr>
        <w:t>法定代表人</w:t>
      </w:r>
      <w:r>
        <w:rPr>
          <w:rFonts w:hint="eastAsia" w:ascii="宋体" w:hAnsi="宋体"/>
          <w:b/>
          <w:sz w:val="24"/>
          <w:szCs w:val="24"/>
        </w:rPr>
        <w:t>（负责人）身份</w:t>
      </w:r>
      <w:r>
        <w:rPr>
          <w:rFonts w:ascii="宋体" w:hAnsi="宋体"/>
          <w:b/>
          <w:sz w:val="24"/>
          <w:szCs w:val="24"/>
        </w:rPr>
        <w:t>证明书</w:t>
      </w:r>
    </w:p>
    <w:p>
      <w:pPr>
        <w:spacing w:line="360" w:lineRule="auto"/>
        <w:ind w:firstLine="499"/>
        <w:rPr>
          <w:kern w:val="1"/>
          <w:sz w:val="24"/>
          <w:szCs w:val="24"/>
        </w:rPr>
      </w:pPr>
      <w:r>
        <w:rPr>
          <w:kern w:val="1"/>
          <w:sz w:val="24"/>
          <w:szCs w:val="24"/>
        </w:rPr>
        <w:t>单位名称:</w:t>
      </w:r>
      <w:r>
        <w:rPr>
          <w:kern w:val="1"/>
          <w:sz w:val="24"/>
          <w:szCs w:val="24"/>
          <w:u w:val="single"/>
        </w:rPr>
        <w:t xml:space="preserve">                        </w:t>
      </w:r>
    </w:p>
    <w:p>
      <w:pPr>
        <w:spacing w:line="360" w:lineRule="auto"/>
        <w:ind w:firstLine="518"/>
        <w:rPr>
          <w:kern w:val="1"/>
          <w:sz w:val="24"/>
          <w:szCs w:val="24"/>
        </w:rPr>
      </w:pPr>
      <w:r>
        <w:rPr>
          <w:kern w:val="1"/>
          <w:sz w:val="24"/>
          <w:szCs w:val="24"/>
        </w:rPr>
        <w:t>地址:</w:t>
      </w:r>
      <w:r>
        <w:rPr>
          <w:kern w:val="1"/>
          <w:sz w:val="24"/>
          <w:szCs w:val="24"/>
          <w:u w:val="single"/>
        </w:rPr>
        <w:t xml:space="preserve">                            </w:t>
      </w:r>
      <w:r>
        <w:rPr>
          <w:kern w:val="1"/>
          <w:sz w:val="24"/>
          <w:szCs w:val="24"/>
        </w:rPr>
        <w:t xml:space="preserve"> </w:t>
      </w:r>
    </w:p>
    <w:p>
      <w:pPr>
        <w:spacing w:line="360" w:lineRule="auto"/>
        <w:ind w:firstLine="518"/>
        <w:rPr>
          <w:kern w:val="1"/>
          <w:sz w:val="24"/>
          <w:szCs w:val="24"/>
        </w:rPr>
      </w:pPr>
      <w:r>
        <w:rPr>
          <w:kern w:val="1"/>
          <w:sz w:val="24"/>
          <w:szCs w:val="24"/>
        </w:rPr>
        <w:t xml:space="preserve">姓名: </w:t>
      </w:r>
      <w:r>
        <w:rPr>
          <w:kern w:val="1"/>
          <w:sz w:val="24"/>
          <w:szCs w:val="24"/>
          <w:u w:val="single"/>
        </w:rPr>
        <w:t xml:space="preserve">          </w:t>
      </w:r>
      <w:r>
        <w:rPr>
          <w:kern w:val="1"/>
          <w:sz w:val="24"/>
          <w:szCs w:val="24"/>
        </w:rPr>
        <w:t xml:space="preserve">  性别: </w:t>
      </w:r>
      <w:r>
        <w:rPr>
          <w:kern w:val="1"/>
          <w:sz w:val="24"/>
          <w:szCs w:val="24"/>
          <w:u w:val="single"/>
        </w:rPr>
        <w:t xml:space="preserve">     </w:t>
      </w:r>
      <w:r>
        <w:rPr>
          <w:kern w:val="1"/>
          <w:sz w:val="24"/>
          <w:szCs w:val="24"/>
        </w:rPr>
        <w:t xml:space="preserve"> 年龄: </w:t>
      </w:r>
      <w:r>
        <w:rPr>
          <w:kern w:val="1"/>
          <w:sz w:val="24"/>
          <w:szCs w:val="24"/>
          <w:u w:val="single"/>
        </w:rPr>
        <w:t xml:space="preserve">      </w:t>
      </w:r>
      <w:r>
        <w:rPr>
          <w:kern w:val="1"/>
          <w:sz w:val="24"/>
          <w:szCs w:val="24"/>
        </w:rPr>
        <w:t xml:space="preserve"> 职务:</w:t>
      </w:r>
      <w:r>
        <w:rPr>
          <w:kern w:val="1"/>
          <w:sz w:val="24"/>
          <w:szCs w:val="24"/>
          <w:u w:val="single"/>
        </w:rPr>
        <w:t xml:space="preserve">       </w:t>
      </w:r>
      <w:r>
        <w:rPr>
          <w:kern w:val="1"/>
          <w:sz w:val="24"/>
          <w:szCs w:val="24"/>
        </w:rPr>
        <w:t xml:space="preserve">  </w:t>
      </w:r>
    </w:p>
    <w:p>
      <w:pPr>
        <w:spacing w:line="360" w:lineRule="auto"/>
        <w:rPr>
          <w:kern w:val="1"/>
          <w:sz w:val="24"/>
          <w:szCs w:val="24"/>
        </w:rPr>
      </w:pPr>
      <w:r>
        <w:rPr>
          <w:kern w:val="1"/>
          <w:sz w:val="24"/>
          <w:szCs w:val="24"/>
        </w:rPr>
        <w:t xml:space="preserve">    系</w:t>
      </w:r>
      <w:r>
        <w:rPr>
          <w:kern w:val="1"/>
          <w:sz w:val="24"/>
          <w:szCs w:val="24"/>
          <w:u w:val="single"/>
        </w:rPr>
        <w:t xml:space="preserve">  （</w:t>
      </w:r>
      <w:r>
        <w:rPr>
          <w:rFonts w:hint="eastAsia"/>
          <w:kern w:val="1"/>
          <w:sz w:val="24"/>
          <w:szCs w:val="24"/>
          <w:u w:val="single"/>
        </w:rPr>
        <w:t>供应商</w:t>
      </w:r>
      <w:r>
        <w:rPr>
          <w:kern w:val="1"/>
          <w:sz w:val="24"/>
          <w:szCs w:val="24"/>
          <w:u w:val="single"/>
        </w:rPr>
        <w:t xml:space="preserve">单位名称）   </w:t>
      </w:r>
      <w:r>
        <w:rPr>
          <w:kern w:val="1"/>
          <w:sz w:val="24"/>
          <w:szCs w:val="24"/>
        </w:rPr>
        <w:t>的法定代表人。为</w:t>
      </w:r>
      <w:r>
        <w:rPr>
          <w:kern w:val="1"/>
          <w:sz w:val="24"/>
          <w:szCs w:val="24"/>
          <w:u w:val="single"/>
        </w:rPr>
        <w:t xml:space="preserve">  （项目编号、名称）  </w:t>
      </w:r>
      <w:r>
        <w:rPr>
          <w:kern w:val="1"/>
          <w:sz w:val="24"/>
          <w:szCs w:val="24"/>
        </w:rPr>
        <w:t>，签署上述本项目的</w:t>
      </w:r>
      <w:r>
        <w:rPr>
          <w:rFonts w:hint="eastAsia"/>
          <w:kern w:val="1"/>
          <w:sz w:val="24"/>
          <w:szCs w:val="24"/>
        </w:rPr>
        <w:t>投标文件</w:t>
      </w:r>
      <w:r>
        <w:rPr>
          <w:kern w:val="1"/>
          <w:sz w:val="24"/>
          <w:szCs w:val="24"/>
        </w:rPr>
        <w:t>、进行合同谈判、签署合同和处理与之有关的一切事务。</w:t>
      </w:r>
    </w:p>
    <w:p>
      <w:pPr>
        <w:spacing w:line="360" w:lineRule="auto"/>
        <w:ind w:firstLine="480"/>
        <w:rPr>
          <w:kern w:val="1"/>
          <w:sz w:val="24"/>
          <w:szCs w:val="24"/>
        </w:rPr>
      </w:pPr>
      <w:r>
        <w:rPr>
          <w:kern w:val="1"/>
          <w:sz w:val="24"/>
          <w:szCs w:val="24"/>
        </w:rPr>
        <w:t>特此证明。</w:t>
      </w:r>
    </w:p>
    <w:p>
      <w:pPr>
        <w:spacing w:line="360" w:lineRule="auto"/>
        <w:ind w:firstLine="480"/>
        <w:jc w:val="center"/>
        <w:rPr>
          <w:kern w:val="1"/>
          <w:sz w:val="24"/>
          <w:szCs w:val="24"/>
        </w:rPr>
      </w:pPr>
    </w:p>
    <w:p>
      <w:pPr>
        <w:spacing w:line="360" w:lineRule="auto"/>
        <w:ind w:firstLine="480"/>
        <w:jc w:val="center"/>
        <w:rPr>
          <w:kern w:val="1"/>
          <w:sz w:val="24"/>
          <w:szCs w:val="24"/>
        </w:rPr>
      </w:pPr>
    </w:p>
    <w:p>
      <w:pPr>
        <w:spacing w:line="360" w:lineRule="auto"/>
        <w:ind w:firstLine="480"/>
        <w:jc w:val="center"/>
        <w:rPr>
          <w:kern w:val="1"/>
          <w:sz w:val="24"/>
          <w:szCs w:val="24"/>
        </w:rPr>
      </w:pPr>
      <w:r>
        <w:rPr>
          <w:kern w:val="1"/>
          <w:sz w:val="24"/>
          <w:szCs w:val="24"/>
        </w:rPr>
        <w:t>身份证复印件</w:t>
      </w:r>
    </w:p>
    <w:p>
      <w:pPr>
        <w:spacing w:line="360" w:lineRule="auto"/>
        <w:ind w:firstLine="6156" w:firstLineChars="2565"/>
        <w:rPr>
          <w:kern w:val="1"/>
          <w:sz w:val="24"/>
          <w:szCs w:val="24"/>
        </w:rPr>
      </w:pPr>
    </w:p>
    <w:p>
      <w:pPr>
        <w:spacing w:line="360" w:lineRule="auto"/>
        <w:ind w:firstLine="6156" w:firstLineChars="2565"/>
        <w:rPr>
          <w:kern w:val="1"/>
          <w:sz w:val="24"/>
          <w:szCs w:val="24"/>
        </w:rPr>
      </w:pPr>
    </w:p>
    <w:p>
      <w:pPr>
        <w:spacing w:line="360" w:lineRule="auto"/>
        <w:ind w:firstLine="6156" w:firstLineChars="2565"/>
        <w:rPr>
          <w:kern w:val="1"/>
          <w:sz w:val="24"/>
          <w:szCs w:val="24"/>
        </w:rPr>
      </w:pPr>
      <w:r>
        <w:rPr>
          <w:rFonts w:hint="eastAsia"/>
          <w:kern w:val="1"/>
          <w:sz w:val="24"/>
          <w:szCs w:val="24"/>
        </w:rPr>
        <w:t>供应商（</w:t>
      </w:r>
      <w:r>
        <w:rPr>
          <w:kern w:val="1"/>
          <w:sz w:val="24"/>
          <w:szCs w:val="24"/>
        </w:rPr>
        <w:t>公章</w:t>
      </w:r>
      <w:r>
        <w:rPr>
          <w:rFonts w:hint="eastAsia"/>
          <w:kern w:val="1"/>
          <w:sz w:val="24"/>
          <w:szCs w:val="24"/>
        </w:rPr>
        <w:t>）：</w:t>
      </w:r>
    </w:p>
    <w:p>
      <w:pPr>
        <w:spacing w:line="360" w:lineRule="auto"/>
        <w:ind w:firstLine="518"/>
        <w:rPr>
          <w:kern w:val="1"/>
          <w:sz w:val="24"/>
          <w:szCs w:val="24"/>
        </w:rPr>
      </w:pPr>
    </w:p>
    <w:p>
      <w:pPr>
        <w:spacing w:line="360" w:lineRule="auto"/>
        <w:jc w:val="right"/>
        <w:rPr>
          <w:rFonts w:ascii="宋体" w:hAnsi="宋体"/>
          <w:sz w:val="24"/>
          <w:u w:val="single"/>
        </w:rPr>
      </w:pPr>
      <w:r>
        <w:rPr>
          <w:rFonts w:hint="eastAsia" w:ascii="宋体" w:hAnsi="宋体"/>
          <w:sz w:val="24"/>
        </w:rPr>
        <w:t xml:space="preserve">       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jc w:val="center"/>
        <w:rPr>
          <w:b/>
          <w:sz w:val="28"/>
        </w:rPr>
      </w:pPr>
    </w:p>
    <w:p>
      <w:pPr>
        <w:widowControl/>
        <w:jc w:val="left"/>
        <w:rPr>
          <w:rFonts w:ascii="宋体" w:hAnsi="宋体"/>
          <w:b/>
          <w:sz w:val="24"/>
          <w:szCs w:val="24"/>
        </w:rPr>
      </w:pPr>
      <w:r>
        <w:rPr>
          <w:rFonts w:ascii="宋体" w:hAnsi="宋体"/>
          <w:b/>
          <w:sz w:val="24"/>
          <w:szCs w:val="24"/>
        </w:rPr>
        <w:br w:type="page"/>
      </w:r>
    </w:p>
    <w:p>
      <w:pPr>
        <w:spacing w:line="360" w:lineRule="auto"/>
        <w:jc w:val="center"/>
        <w:rPr>
          <w:rFonts w:ascii="宋体" w:hAnsi="宋体"/>
          <w:b/>
          <w:sz w:val="24"/>
          <w:szCs w:val="24"/>
        </w:rPr>
      </w:pPr>
      <w:r>
        <w:rPr>
          <w:rFonts w:hint="eastAsia" w:ascii="宋体" w:hAnsi="宋体"/>
          <w:b/>
          <w:sz w:val="24"/>
          <w:szCs w:val="24"/>
          <w:lang w:val="en-US" w:eastAsia="zh-CN"/>
        </w:rPr>
        <w:t>5</w:t>
      </w:r>
      <w:r>
        <w:rPr>
          <w:rFonts w:hint="eastAsia" w:ascii="宋体" w:hAnsi="宋体"/>
          <w:b/>
          <w:sz w:val="24"/>
          <w:szCs w:val="24"/>
        </w:rPr>
        <w:t>.2法定代表人（负责人）授权委托书</w:t>
      </w:r>
    </w:p>
    <w:p>
      <w:pPr>
        <w:spacing w:line="360" w:lineRule="auto"/>
        <w:jc w:val="left"/>
        <w:rPr>
          <w:b/>
          <w:sz w:val="28"/>
        </w:rPr>
      </w:pPr>
    </w:p>
    <w:p>
      <w:pPr>
        <w:spacing w:line="360" w:lineRule="auto"/>
        <w:ind w:firstLine="588" w:firstLineChars="245"/>
        <w:rPr>
          <w:sz w:val="24"/>
          <w:szCs w:val="24"/>
        </w:rPr>
      </w:pPr>
      <w:r>
        <w:rPr>
          <w:rFonts w:hint="eastAsia"/>
          <w:sz w:val="24"/>
          <w:szCs w:val="24"/>
        </w:rPr>
        <w:t>我</w:t>
      </w:r>
      <w:r>
        <w:rPr>
          <w:rFonts w:hint="eastAsia"/>
          <w:sz w:val="24"/>
          <w:szCs w:val="24"/>
          <w:u w:val="single"/>
        </w:rPr>
        <w:t xml:space="preserve">    （法人代表）         </w:t>
      </w:r>
      <w:r>
        <w:rPr>
          <w:rFonts w:hint="eastAsia"/>
          <w:sz w:val="24"/>
          <w:szCs w:val="24"/>
        </w:rPr>
        <w:t>代表</w:t>
      </w:r>
      <w:r>
        <w:rPr>
          <w:rFonts w:hint="eastAsia"/>
          <w:sz w:val="24"/>
          <w:szCs w:val="24"/>
          <w:u w:val="single"/>
        </w:rPr>
        <w:t xml:space="preserve">         （供应商单位）            </w:t>
      </w:r>
      <w:r>
        <w:rPr>
          <w:rFonts w:hint="eastAsia"/>
          <w:sz w:val="24"/>
          <w:szCs w:val="24"/>
        </w:rPr>
        <w:t>授权</w:t>
      </w:r>
      <w:r>
        <w:rPr>
          <w:rFonts w:hint="eastAsia"/>
          <w:sz w:val="24"/>
          <w:szCs w:val="24"/>
          <w:u w:val="single"/>
        </w:rPr>
        <w:t xml:space="preserve">  （被授权代表）         </w:t>
      </w:r>
      <w:r>
        <w:rPr>
          <w:rFonts w:hint="eastAsia"/>
          <w:sz w:val="24"/>
          <w:szCs w:val="24"/>
        </w:rPr>
        <w:t>代表本单位参加</w:t>
      </w:r>
      <w:r>
        <w:rPr>
          <w:rFonts w:hint="eastAsia"/>
          <w:sz w:val="24"/>
          <w:szCs w:val="24"/>
          <w:u w:val="single"/>
        </w:rPr>
        <w:t xml:space="preserve">   （项目编号、名称）                     </w:t>
      </w:r>
      <w:r>
        <w:rPr>
          <w:rFonts w:hint="eastAsia"/>
          <w:sz w:val="24"/>
          <w:szCs w:val="24"/>
        </w:rPr>
        <w:t xml:space="preserve"> 项目投标，就本次投标一切行为我公司承认合法、有效。</w:t>
      </w:r>
    </w:p>
    <w:p>
      <w:pPr>
        <w:spacing w:line="360" w:lineRule="auto"/>
        <w:ind w:firstLine="588" w:firstLineChars="245"/>
        <w:rPr>
          <w:sz w:val="24"/>
          <w:szCs w:val="24"/>
        </w:rPr>
      </w:pPr>
    </w:p>
    <w:p>
      <w:pPr>
        <w:spacing w:line="360" w:lineRule="auto"/>
        <w:ind w:firstLine="588" w:firstLineChars="245"/>
        <w:rPr>
          <w:sz w:val="24"/>
          <w:szCs w:val="24"/>
        </w:rPr>
      </w:pPr>
      <w:r>
        <w:rPr>
          <w:rFonts w:hint="eastAsia"/>
          <w:sz w:val="24"/>
          <w:szCs w:val="24"/>
        </w:rPr>
        <w:t>公司名称（公章）：</w:t>
      </w:r>
    </w:p>
    <w:p>
      <w:pPr>
        <w:spacing w:line="360" w:lineRule="auto"/>
        <w:ind w:firstLine="588" w:firstLineChars="245"/>
        <w:rPr>
          <w:sz w:val="24"/>
          <w:szCs w:val="24"/>
        </w:rPr>
      </w:pPr>
      <w:r>
        <w:rPr>
          <w:rFonts w:hint="eastAsia"/>
          <w:sz w:val="24"/>
          <w:szCs w:val="24"/>
        </w:rPr>
        <w:t>法人代表（签字）：</w:t>
      </w:r>
    </w:p>
    <w:p>
      <w:pPr>
        <w:spacing w:line="360" w:lineRule="auto"/>
        <w:ind w:firstLine="588" w:firstLineChars="245"/>
        <w:rPr>
          <w:sz w:val="24"/>
          <w:szCs w:val="24"/>
        </w:rPr>
      </w:pPr>
      <w:r>
        <w:rPr>
          <w:rFonts w:hint="eastAsia"/>
          <w:sz w:val="24"/>
          <w:szCs w:val="24"/>
        </w:rPr>
        <w:t>授权代表（签字）：</w:t>
      </w:r>
    </w:p>
    <w:p>
      <w:pPr>
        <w:spacing w:line="360" w:lineRule="auto"/>
        <w:ind w:firstLine="588" w:firstLineChars="245"/>
        <w:rPr>
          <w:sz w:val="24"/>
          <w:szCs w:val="24"/>
        </w:rPr>
      </w:pPr>
      <w:r>
        <w:rPr>
          <w:rFonts w:hint="eastAsia"/>
          <w:sz w:val="24"/>
          <w:szCs w:val="24"/>
        </w:rPr>
        <w:t>日期：</w:t>
      </w:r>
    </w:p>
    <w:p>
      <w:pPr>
        <w:spacing w:line="360" w:lineRule="auto"/>
        <w:jc w:val="center"/>
        <w:rPr>
          <w:sz w:val="24"/>
          <w:szCs w:val="24"/>
        </w:rPr>
      </w:pPr>
    </w:p>
    <w:p>
      <w:pPr>
        <w:spacing w:line="360" w:lineRule="auto"/>
        <w:rPr>
          <w:sz w:val="24"/>
          <w:szCs w:val="24"/>
        </w:rPr>
      </w:pPr>
      <w:r>
        <w:rPr>
          <w:rFonts w:hint="eastAsia"/>
          <w:sz w:val="24"/>
          <w:szCs w:val="24"/>
        </w:rPr>
        <w:t>注：被授权人为在该投标文件签字并参加投标的单位代表，开标时请携带身份证原件。</w:t>
      </w:r>
    </w:p>
    <w:p>
      <w:pPr>
        <w:spacing w:line="360" w:lineRule="auto"/>
        <w:jc w:val="center"/>
        <w:rPr>
          <w:b/>
          <w:sz w:val="28"/>
        </w:rPr>
      </w:pPr>
    </w:p>
    <w:p>
      <w:pPr>
        <w:spacing w:line="360" w:lineRule="auto"/>
        <w:jc w:val="center"/>
        <w:rPr>
          <w:b/>
          <w:sz w:val="28"/>
        </w:rPr>
      </w:pPr>
    </w:p>
    <w:p>
      <w:pPr>
        <w:spacing w:line="360" w:lineRule="auto"/>
        <w:jc w:val="center"/>
        <w:rPr>
          <w:b/>
          <w:sz w:val="28"/>
        </w:rPr>
      </w:pPr>
    </w:p>
    <w:p>
      <w:pPr>
        <w:spacing w:line="360" w:lineRule="auto"/>
        <w:jc w:val="center"/>
        <w:rPr>
          <w:b/>
          <w:sz w:val="28"/>
        </w:rPr>
      </w:pPr>
    </w:p>
    <w:p>
      <w:pPr>
        <w:spacing w:line="360" w:lineRule="auto"/>
        <w:jc w:val="center"/>
        <w:rPr>
          <w:b/>
          <w:sz w:val="28"/>
        </w:rPr>
      </w:pPr>
      <w:r>
        <w:rPr>
          <w:rFonts w:hint="eastAsia"/>
          <w:bCs/>
          <w:sz w:val="24"/>
          <w:szCs w:val="24"/>
        </w:rPr>
        <w:t>法人代表身份证复印件             被授权人身份证复印件</w:t>
      </w:r>
    </w:p>
    <w:p>
      <w:pPr>
        <w:widowControl/>
        <w:jc w:val="left"/>
        <w:rPr>
          <w:b/>
          <w:sz w:val="28"/>
        </w:rPr>
      </w:pPr>
      <w:r>
        <w:rPr>
          <w:b/>
          <w:sz w:val="28"/>
        </w:rPr>
        <w:br w:type="page"/>
      </w:r>
    </w:p>
    <w:p>
      <w:pPr>
        <w:spacing w:line="360" w:lineRule="auto"/>
        <w:jc w:val="center"/>
        <w:rPr>
          <w:rFonts w:ascii="宋体" w:hAnsi="宋体"/>
          <w:b/>
          <w:sz w:val="24"/>
          <w:szCs w:val="24"/>
        </w:rPr>
      </w:pPr>
      <w:r>
        <w:rPr>
          <w:rFonts w:hint="eastAsia" w:ascii="宋体" w:hAnsi="宋体"/>
          <w:b/>
          <w:sz w:val="24"/>
          <w:szCs w:val="24"/>
          <w:lang w:val="en-US" w:eastAsia="zh-CN"/>
        </w:rPr>
        <w:t xml:space="preserve">5.3 </w:t>
      </w:r>
      <w:bookmarkStart w:id="12" w:name="_GoBack"/>
      <w:bookmarkEnd w:id="12"/>
      <w:r>
        <w:rPr>
          <w:rFonts w:hint="eastAsia" w:ascii="宋体" w:hAnsi="宋体"/>
          <w:b/>
          <w:sz w:val="24"/>
          <w:szCs w:val="24"/>
        </w:rPr>
        <w:t>基本情况说明：</w:t>
      </w:r>
    </w:p>
    <w:p>
      <w:pPr>
        <w:spacing w:line="360" w:lineRule="auto"/>
        <w:jc w:val="center"/>
        <w:rPr>
          <w:sz w:val="24"/>
        </w:rPr>
      </w:pPr>
    </w:p>
    <w:p>
      <w:pPr>
        <w:spacing w:line="360" w:lineRule="auto"/>
        <w:jc w:val="center"/>
        <w:rPr>
          <w:rFonts w:ascii="宋体" w:hAnsi="宋体"/>
          <w:b/>
          <w:sz w:val="24"/>
          <w:szCs w:val="24"/>
        </w:rPr>
      </w:pPr>
      <w:r>
        <w:rPr>
          <w:rFonts w:hint="eastAsia"/>
          <w:b/>
          <w:sz w:val="24"/>
        </w:rPr>
        <w:t>（1）供应商简介</w:t>
      </w:r>
    </w:p>
    <w:p>
      <w:pPr>
        <w:spacing w:beforeLines="50" w:afterLines="50" w:line="360" w:lineRule="exact"/>
        <w:rPr>
          <w:sz w:val="24"/>
        </w:rPr>
      </w:pPr>
    </w:p>
    <w:p>
      <w:pPr>
        <w:spacing w:beforeLines="50" w:afterLines="50" w:line="360" w:lineRule="exact"/>
        <w:rPr>
          <w:sz w:val="24"/>
        </w:rPr>
      </w:pPr>
      <w:r>
        <w:rPr>
          <w:sz w:val="24"/>
        </w:rPr>
        <w:t>1、公司名称：</w:t>
      </w:r>
      <w:r>
        <w:rPr>
          <w:sz w:val="24"/>
          <w:u w:val="single"/>
        </w:rPr>
        <w:t xml:space="preserve">                    </w:t>
      </w:r>
      <w:r>
        <w:rPr>
          <w:sz w:val="24"/>
        </w:rPr>
        <w:t xml:space="preserve">     电话号码：</w:t>
      </w:r>
      <w:r>
        <w:rPr>
          <w:sz w:val="24"/>
          <w:u w:val="single"/>
        </w:rPr>
        <w:t xml:space="preserve">                    </w:t>
      </w:r>
      <w:r>
        <w:rPr>
          <w:sz w:val="24"/>
        </w:rPr>
        <w:t xml:space="preserve">                  </w:t>
      </w:r>
    </w:p>
    <w:p>
      <w:pPr>
        <w:spacing w:beforeLines="50" w:afterLines="50" w:line="360" w:lineRule="exact"/>
        <w:rPr>
          <w:sz w:val="24"/>
        </w:rPr>
      </w:pPr>
      <w:r>
        <w:rPr>
          <w:sz w:val="24"/>
        </w:rPr>
        <w:t>2、地    址：</w:t>
      </w:r>
      <w:r>
        <w:rPr>
          <w:sz w:val="24"/>
          <w:u w:val="single"/>
        </w:rPr>
        <w:t xml:space="preserve">                    </w:t>
      </w:r>
      <w:r>
        <w:rPr>
          <w:sz w:val="24"/>
        </w:rPr>
        <w:t xml:space="preserve">     传    真：</w:t>
      </w:r>
      <w:r>
        <w:rPr>
          <w:sz w:val="24"/>
          <w:u w:val="single"/>
        </w:rPr>
        <w:t xml:space="preserve">                  </w:t>
      </w:r>
    </w:p>
    <w:p>
      <w:pPr>
        <w:spacing w:beforeLines="50" w:afterLines="50" w:line="360" w:lineRule="exact"/>
        <w:rPr>
          <w:sz w:val="24"/>
          <w:u w:val="single"/>
        </w:rPr>
      </w:pPr>
      <w:r>
        <w:rPr>
          <w:sz w:val="24"/>
        </w:rPr>
        <w:t>3、注册资金：</w:t>
      </w:r>
      <w:r>
        <w:rPr>
          <w:sz w:val="24"/>
          <w:u w:val="single"/>
        </w:rPr>
        <w:t xml:space="preserve">                    </w:t>
      </w:r>
      <w:r>
        <w:rPr>
          <w:sz w:val="24"/>
        </w:rPr>
        <w:t xml:space="preserve">     经济性质：</w:t>
      </w:r>
      <w:r>
        <w:rPr>
          <w:sz w:val="24"/>
          <w:u w:val="single"/>
        </w:rPr>
        <w:t xml:space="preserve">                  </w:t>
      </w:r>
    </w:p>
    <w:p>
      <w:pPr>
        <w:spacing w:beforeLines="50" w:afterLines="50" w:line="360" w:lineRule="exact"/>
        <w:rPr>
          <w:sz w:val="24"/>
        </w:rPr>
      </w:pPr>
      <w:r>
        <w:rPr>
          <w:sz w:val="24"/>
        </w:rPr>
        <w:t xml:space="preserve">4、公司开户银行名称及账号：          </w:t>
      </w:r>
      <w:r>
        <w:rPr>
          <w:rFonts w:hint="eastAsia"/>
          <w:sz w:val="24"/>
        </w:rPr>
        <w:t xml:space="preserve"> </w:t>
      </w:r>
      <w:r>
        <w:rPr>
          <w:sz w:val="24"/>
        </w:rPr>
        <w:t>地址：</w:t>
      </w:r>
    </w:p>
    <w:p>
      <w:pPr>
        <w:spacing w:beforeLines="50" w:afterLines="50" w:line="360" w:lineRule="exact"/>
        <w:ind w:left="360"/>
        <w:rPr>
          <w:sz w:val="24"/>
          <w:u w:val="single"/>
        </w:rPr>
      </w:pPr>
      <w:r>
        <w:rPr>
          <w:sz w:val="24"/>
          <w:u w:val="single"/>
        </w:rPr>
        <w:t xml:space="preserve">                           </w:t>
      </w:r>
      <w:r>
        <w:rPr>
          <w:sz w:val="24"/>
        </w:rPr>
        <w:t xml:space="preserve">        </w:t>
      </w:r>
      <w:r>
        <w:rPr>
          <w:sz w:val="24"/>
          <w:u w:val="single"/>
        </w:rPr>
        <w:t xml:space="preserve">                      </w:t>
      </w:r>
    </w:p>
    <w:p>
      <w:pPr>
        <w:spacing w:beforeLines="50" w:afterLines="50" w:line="360" w:lineRule="exact"/>
        <w:ind w:left="360"/>
        <w:rPr>
          <w:sz w:val="24"/>
          <w:u w:val="single"/>
        </w:rPr>
      </w:pPr>
      <w:r>
        <w:rPr>
          <w:sz w:val="24"/>
          <w:u w:val="single"/>
        </w:rPr>
        <w:t xml:space="preserve">                           </w:t>
      </w:r>
      <w:r>
        <w:rPr>
          <w:sz w:val="24"/>
        </w:rPr>
        <w:t xml:space="preserve">        </w:t>
      </w:r>
      <w:r>
        <w:rPr>
          <w:sz w:val="24"/>
          <w:u w:val="single"/>
        </w:rPr>
        <w:t xml:space="preserve">                      </w:t>
      </w:r>
    </w:p>
    <w:p>
      <w:pPr>
        <w:tabs>
          <w:tab w:val="left" w:pos="420"/>
        </w:tabs>
        <w:spacing w:beforeLines="50" w:afterLines="50" w:line="360" w:lineRule="exact"/>
        <w:ind w:left="420" w:hanging="420"/>
        <w:rPr>
          <w:sz w:val="24"/>
        </w:rPr>
      </w:pPr>
      <w:r>
        <w:rPr>
          <w:sz w:val="24"/>
        </w:rPr>
        <w:t xml:space="preserve">5、营业执照注册号：   </w:t>
      </w:r>
    </w:p>
    <w:p>
      <w:pPr>
        <w:spacing w:beforeLines="50" w:afterLines="50" w:line="360" w:lineRule="exact"/>
        <w:ind w:left="360"/>
        <w:rPr>
          <w:sz w:val="24"/>
        </w:rPr>
      </w:pPr>
      <w:r>
        <w:rPr>
          <w:sz w:val="24"/>
        </w:rPr>
        <w:t xml:space="preserve">   </w:t>
      </w:r>
    </w:p>
    <w:p>
      <w:pPr>
        <w:spacing w:beforeLines="50" w:afterLines="50" w:line="360" w:lineRule="exact"/>
        <w:rPr>
          <w:sz w:val="24"/>
        </w:rPr>
      </w:pPr>
      <w:r>
        <w:rPr>
          <w:rFonts w:hint="eastAsia"/>
          <w:sz w:val="24"/>
        </w:rPr>
        <w:t>6、经营范围：</w:t>
      </w:r>
    </w:p>
    <w:p>
      <w:pPr>
        <w:spacing w:beforeLines="50" w:afterLines="50" w:line="360" w:lineRule="exact"/>
        <w:ind w:left="360"/>
        <w:rPr>
          <w:sz w:val="24"/>
        </w:rPr>
      </w:pPr>
      <w:r>
        <w:rPr>
          <w:sz w:val="24"/>
        </w:rPr>
        <w:t>（自行描述）</w:t>
      </w:r>
    </w:p>
    <w:p>
      <w:pPr>
        <w:spacing w:beforeLines="50" w:afterLines="50" w:line="360" w:lineRule="exact"/>
        <w:ind w:left="360"/>
        <w:rPr>
          <w:sz w:val="24"/>
        </w:rPr>
      </w:pPr>
    </w:p>
    <w:p>
      <w:pPr>
        <w:spacing w:beforeLines="50" w:afterLines="50" w:line="360" w:lineRule="exact"/>
        <w:rPr>
          <w:sz w:val="24"/>
        </w:rPr>
      </w:pPr>
      <w:r>
        <w:rPr>
          <w:sz w:val="24"/>
        </w:rPr>
        <w:t xml:space="preserve">        </w:t>
      </w:r>
    </w:p>
    <w:p>
      <w:pPr>
        <w:spacing w:beforeLines="50" w:afterLines="50" w:line="360" w:lineRule="exact"/>
        <w:ind w:firstLine="570"/>
        <w:rPr>
          <w:sz w:val="24"/>
        </w:rPr>
      </w:pPr>
    </w:p>
    <w:p>
      <w:pPr>
        <w:spacing w:beforeLines="50" w:afterLines="50" w:line="360" w:lineRule="exact"/>
        <w:ind w:firstLine="570"/>
        <w:rPr>
          <w:sz w:val="24"/>
        </w:rPr>
      </w:pPr>
      <w:r>
        <w:rPr>
          <w:sz w:val="24"/>
        </w:rPr>
        <w:t>我/我们声明以上所述是正确无误的，您有权进行您认为必要的所有调查。</w:t>
      </w:r>
    </w:p>
    <w:p>
      <w:pPr>
        <w:spacing w:beforeLines="50" w:afterLines="50" w:line="360" w:lineRule="exact"/>
        <w:rPr>
          <w:sz w:val="24"/>
        </w:rPr>
      </w:pPr>
    </w:p>
    <w:p>
      <w:pPr>
        <w:spacing w:beforeLines="50" w:afterLines="50" w:line="360" w:lineRule="exact"/>
        <w:rPr>
          <w:sz w:val="24"/>
        </w:rPr>
      </w:pPr>
    </w:p>
    <w:p>
      <w:pPr>
        <w:spacing w:beforeLines="50" w:afterLines="50" w:line="360" w:lineRule="exact"/>
        <w:rPr>
          <w:sz w:val="24"/>
        </w:rPr>
      </w:pPr>
      <w:r>
        <w:rPr>
          <w:sz w:val="24"/>
        </w:rPr>
        <w:t xml:space="preserve">                         </w:t>
      </w:r>
    </w:p>
    <w:p>
      <w:pPr>
        <w:spacing w:line="360" w:lineRule="auto"/>
        <w:ind w:firstLine="840"/>
        <w:rPr>
          <w:rFonts w:ascii="宋体" w:hAnsi="宋体"/>
          <w:sz w:val="24"/>
        </w:rPr>
      </w:pPr>
      <w:r>
        <w:rPr>
          <w:rFonts w:hint="eastAsia" w:ascii="宋体" w:hAnsi="宋体"/>
          <w:sz w:val="24"/>
        </w:rPr>
        <w:t>供应商（公章）：</w:t>
      </w:r>
    </w:p>
    <w:p>
      <w:pPr>
        <w:spacing w:line="360" w:lineRule="auto"/>
        <w:ind w:firstLine="840"/>
        <w:rPr>
          <w:rFonts w:ascii="宋体" w:hAnsi="宋体"/>
          <w:sz w:val="24"/>
        </w:rPr>
      </w:pPr>
      <w:r>
        <w:rPr>
          <w:rFonts w:hint="eastAsia" w:ascii="宋体" w:hAnsi="宋体"/>
          <w:sz w:val="24"/>
        </w:rPr>
        <w:t>供应商法人代表或其授权代表：</w:t>
      </w:r>
    </w:p>
    <w:p>
      <w:pPr>
        <w:spacing w:line="360" w:lineRule="auto"/>
        <w:jc w:val="right"/>
        <w:rPr>
          <w:rFonts w:ascii="宋体" w:hAnsi="宋体"/>
          <w:sz w:val="24"/>
          <w:u w:val="single"/>
        </w:rPr>
      </w:pPr>
      <w:r>
        <w:rPr>
          <w:rFonts w:hint="eastAsia" w:ascii="宋体" w:hAnsi="宋体"/>
          <w:sz w:val="24"/>
        </w:rPr>
        <w:t xml:space="preserve">       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beforeLines="50" w:afterLines="50" w:line="360" w:lineRule="exact"/>
        <w:ind w:left="280" w:hanging="280" w:hangingChars="100"/>
        <w:rPr>
          <w:sz w:val="28"/>
        </w:rPr>
      </w:pPr>
    </w:p>
    <w:p>
      <w:pPr>
        <w:jc w:val="center"/>
        <w:rPr>
          <w:b/>
          <w:sz w:val="24"/>
        </w:rPr>
      </w:pPr>
      <w:r>
        <w:rPr>
          <w:rFonts w:hint="eastAsia"/>
          <w:b/>
          <w:sz w:val="24"/>
        </w:rPr>
        <w:t>（2）供应商认为需要声明的其他资格证明证明资料</w:t>
      </w:r>
    </w:p>
    <w:p>
      <w:pPr>
        <w:jc w:val="center"/>
        <w:rPr>
          <w:sz w:val="24"/>
        </w:rPr>
      </w:pPr>
    </w:p>
    <w:p>
      <w:pPr>
        <w:jc w:val="center"/>
        <w:rPr>
          <w:sz w:val="24"/>
        </w:rPr>
      </w:pPr>
    </w:p>
    <w:p>
      <w:pPr>
        <w:jc w:val="center"/>
        <w:rPr>
          <w:sz w:val="24"/>
        </w:rPr>
      </w:pPr>
    </w:p>
    <w:p>
      <w:pPr>
        <w:jc w:val="center"/>
        <w:rPr>
          <w:sz w:val="24"/>
        </w:rPr>
      </w:pPr>
    </w:p>
    <w:p>
      <w:pPr>
        <w:jc w:val="center"/>
        <w:rPr>
          <w:sz w:val="24"/>
        </w:rPr>
      </w:pPr>
    </w:p>
    <w:p>
      <w:pPr>
        <w:spacing w:line="360" w:lineRule="auto"/>
        <w:jc w:val="center"/>
        <w:rPr>
          <w:rFonts w:ascii="宋体" w:hAnsi="宋体"/>
          <w:b/>
          <w:sz w:val="28"/>
        </w:rPr>
      </w:pPr>
      <w:bookmarkStart w:id="9" w:name="_Toc457392810"/>
      <w:r>
        <w:rPr>
          <w:rFonts w:hint="eastAsia" w:ascii="宋体" w:hAnsi="宋体"/>
          <w:b/>
          <w:sz w:val="28"/>
        </w:rPr>
        <w:t>六、承诺函</w:t>
      </w:r>
      <w:bookmarkEnd w:id="9"/>
    </w:p>
    <w:p>
      <w:pPr>
        <w:spacing w:line="360" w:lineRule="auto"/>
        <w:ind w:firstLine="321" w:firstLineChars="100"/>
        <w:rPr>
          <w:b/>
          <w:sz w:val="32"/>
        </w:rPr>
      </w:pPr>
    </w:p>
    <w:p>
      <w:pPr>
        <w:spacing w:line="360" w:lineRule="auto"/>
        <w:ind w:firstLine="240" w:firstLineChars="100"/>
        <w:rPr>
          <w:sz w:val="24"/>
        </w:rPr>
      </w:pPr>
      <w:r>
        <w:rPr>
          <w:rFonts w:hint="eastAsia"/>
          <w:sz w:val="24"/>
        </w:rPr>
        <w:t>内容包括如下：</w:t>
      </w:r>
    </w:p>
    <w:p>
      <w:pPr>
        <w:spacing w:line="360" w:lineRule="auto"/>
        <w:ind w:left="764" w:leftChars="171" w:hanging="405" w:hangingChars="169"/>
        <w:rPr>
          <w:sz w:val="24"/>
        </w:rPr>
      </w:pPr>
      <w:r>
        <w:rPr>
          <w:rFonts w:hint="eastAsia"/>
          <w:sz w:val="24"/>
        </w:rPr>
        <w:t>1、对交付（服务）时间的承诺；</w:t>
      </w:r>
    </w:p>
    <w:p>
      <w:pPr>
        <w:spacing w:line="360" w:lineRule="auto"/>
        <w:ind w:left="764" w:leftChars="171" w:hanging="405" w:hangingChars="169"/>
        <w:rPr>
          <w:sz w:val="24"/>
        </w:rPr>
      </w:pPr>
      <w:r>
        <w:rPr>
          <w:rFonts w:hint="eastAsia"/>
          <w:sz w:val="24"/>
        </w:rPr>
        <w:t>2、对付款方式的承诺；</w:t>
      </w:r>
    </w:p>
    <w:p>
      <w:pPr>
        <w:spacing w:line="360" w:lineRule="auto"/>
        <w:ind w:left="764" w:leftChars="171" w:hanging="405" w:hangingChars="169"/>
        <w:rPr>
          <w:sz w:val="24"/>
        </w:rPr>
      </w:pPr>
      <w:r>
        <w:rPr>
          <w:rFonts w:hint="eastAsia"/>
          <w:sz w:val="24"/>
        </w:rPr>
        <w:t>3、对质量的承诺；</w:t>
      </w:r>
    </w:p>
    <w:p>
      <w:pPr>
        <w:spacing w:line="360" w:lineRule="auto"/>
        <w:ind w:left="764" w:leftChars="171" w:hanging="405" w:hangingChars="169"/>
        <w:rPr>
          <w:sz w:val="24"/>
        </w:rPr>
      </w:pPr>
      <w:r>
        <w:rPr>
          <w:rFonts w:hint="eastAsia"/>
          <w:sz w:val="24"/>
        </w:rPr>
        <w:t>4、招标文件规定的其他须承诺事项的承诺。</w:t>
      </w:r>
    </w:p>
    <w:p>
      <w:pPr>
        <w:spacing w:line="360" w:lineRule="auto"/>
        <w:ind w:firstLine="360" w:firstLineChars="112"/>
        <w:jc w:val="left"/>
        <w:rPr>
          <w:b/>
          <w:sz w:val="32"/>
        </w:rPr>
      </w:pPr>
    </w:p>
    <w:p>
      <w:pPr>
        <w:spacing w:line="360" w:lineRule="auto"/>
        <w:ind w:firstLine="360" w:firstLineChars="112"/>
        <w:jc w:val="left"/>
        <w:rPr>
          <w:b/>
          <w:sz w:val="32"/>
        </w:rPr>
      </w:pPr>
    </w:p>
    <w:p>
      <w:pPr>
        <w:spacing w:line="360" w:lineRule="auto"/>
        <w:ind w:firstLine="360" w:firstLineChars="112"/>
        <w:jc w:val="left"/>
        <w:rPr>
          <w:b/>
          <w:sz w:val="32"/>
        </w:rPr>
      </w:pPr>
      <w:r>
        <w:rPr>
          <w:rFonts w:hint="eastAsia"/>
          <w:b/>
          <w:sz w:val="32"/>
        </w:rPr>
        <w:t xml:space="preserve"> </w:t>
      </w:r>
    </w:p>
    <w:p>
      <w:pPr>
        <w:spacing w:line="360" w:lineRule="auto"/>
        <w:ind w:firstLine="840"/>
        <w:rPr>
          <w:rFonts w:ascii="宋体" w:hAnsi="宋体"/>
          <w:sz w:val="24"/>
        </w:rPr>
      </w:pPr>
      <w:r>
        <w:rPr>
          <w:rFonts w:hint="eastAsia" w:ascii="宋体" w:hAnsi="宋体"/>
          <w:sz w:val="24"/>
        </w:rPr>
        <w:t>供应商（公章）：</w:t>
      </w:r>
    </w:p>
    <w:p>
      <w:pPr>
        <w:spacing w:line="360" w:lineRule="auto"/>
        <w:ind w:firstLine="840"/>
        <w:rPr>
          <w:rFonts w:ascii="宋体" w:hAnsi="宋体"/>
          <w:sz w:val="24"/>
        </w:rPr>
      </w:pPr>
      <w:r>
        <w:rPr>
          <w:rFonts w:hint="eastAsia" w:ascii="宋体" w:hAnsi="宋体"/>
          <w:sz w:val="24"/>
        </w:rPr>
        <w:t>供应商法人代表或其授权代表：</w:t>
      </w:r>
    </w:p>
    <w:p>
      <w:pPr>
        <w:spacing w:line="360" w:lineRule="auto"/>
        <w:jc w:val="right"/>
        <w:rPr>
          <w:rFonts w:ascii="宋体" w:hAnsi="宋体"/>
          <w:sz w:val="24"/>
          <w:u w:val="single"/>
        </w:rPr>
      </w:pPr>
      <w:r>
        <w:rPr>
          <w:rFonts w:hint="eastAsia" w:ascii="宋体" w:hAnsi="宋体"/>
          <w:sz w:val="24"/>
        </w:rPr>
        <w:t xml:space="preserve">       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ind w:firstLine="268" w:firstLineChars="112"/>
        <w:rPr>
          <w:sz w:val="24"/>
        </w:rPr>
      </w:pPr>
      <w:r>
        <w:rPr>
          <w:rFonts w:hint="eastAsia"/>
          <w:sz w:val="24"/>
        </w:rPr>
        <w:t xml:space="preserve">                                       </w:t>
      </w:r>
    </w:p>
    <w:p>
      <w:pPr>
        <w:spacing w:line="360" w:lineRule="auto"/>
        <w:jc w:val="center"/>
        <w:rPr>
          <w:b/>
          <w:sz w:val="28"/>
        </w:rPr>
      </w:pPr>
    </w:p>
    <w:p>
      <w:pPr>
        <w:spacing w:line="360" w:lineRule="auto"/>
        <w:jc w:val="center"/>
        <w:rPr>
          <w:b/>
          <w:sz w:val="28"/>
        </w:rPr>
      </w:pPr>
    </w:p>
    <w:p>
      <w:pPr>
        <w:spacing w:line="360" w:lineRule="auto"/>
        <w:jc w:val="center"/>
        <w:rPr>
          <w:b/>
          <w:sz w:val="28"/>
        </w:rPr>
      </w:pPr>
    </w:p>
    <w:p>
      <w:pPr>
        <w:spacing w:line="360" w:lineRule="auto"/>
        <w:rPr>
          <w:b/>
          <w:sz w:val="28"/>
        </w:rPr>
      </w:pPr>
    </w:p>
    <w:p>
      <w:pPr>
        <w:widowControl/>
        <w:jc w:val="left"/>
        <w:rPr>
          <w:rFonts w:ascii="Cambria" w:hAnsi="Cambria" w:eastAsia="宋体" w:cs="宋体"/>
          <w:b/>
          <w:bCs/>
          <w:sz w:val="32"/>
          <w:szCs w:val="32"/>
        </w:rPr>
      </w:pPr>
      <w:bookmarkStart w:id="10" w:name="_Toc457392811"/>
      <w:r>
        <w:br w:type="page"/>
      </w:r>
    </w:p>
    <w:p>
      <w:pPr>
        <w:spacing w:line="360" w:lineRule="auto"/>
        <w:jc w:val="center"/>
        <w:rPr>
          <w:rFonts w:ascii="宋体" w:hAnsi="宋体"/>
          <w:b/>
          <w:sz w:val="28"/>
        </w:rPr>
      </w:pPr>
      <w:r>
        <w:rPr>
          <w:rFonts w:hint="eastAsia" w:ascii="宋体" w:hAnsi="宋体"/>
          <w:b/>
          <w:sz w:val="28"/>
        </w:rPr>
        <w:t>七、反商业贿赂承诺书</w:t>
      </w:r>
      <w:bookmarkEnd w:id="10"/>
    </w:p>
    <w:p>
      <w:pPr>
        <w:spacing w:line="360" w:lineRule="auto"/>
        <w:ind w:left="764" w:leftChars="171" w:hanging="405" w:hangingChars="169"/>
        <w:rPr>
          <w:sz w:val="24"/>
        </w:rPr>
      </w:pPr>
      <w:r>
        <w:rPr>
          <w:rFonts w:hint="eastAsia"/>
          <w:sz w:val="24"/>
        </w:rPr>
        <w:t>我公司承诺：</w:t>
      </w:r>
    </w:p>
    <w:p>
      <w:pPr>
        <w:spacing w:line="360" w:lineRule="auto"/>
        <w:ind w:left="764" w:leftChars="171" w:hanging="405" w:hangingChars="169"/>
        <w:rPr>
          <w:sz w:val="24"/>
        </w:rPr>
      </w:pPr>
      <w:r>
        <w:rPr>
          <w:rFonts w:hint="eastAsia"/>
          <w:sz w:val="24"/>
        </w:rPr>
        <w:t xml:space="preserve">在 </w:t>
      </w:r>
      <w:r>
        <w:rPr>
          <w:rFonts w:hint="eastAsia"/>
          <w:sz w:val="24"/>
          <w:u w:val="single"/>
        </w:rPr>
        <w:t xml:space="preserve">（项目名称）  </w:t>
      </w:r>
      <w:r>
        <w:rPr>
          <w:rFonts w:hint="eastAsia"/>
          <w:sz w:val="24"/>
        </w:rPr>
        <w:t>招标活动中，我公司保证做到：</w:t>
      </w:r>
    </w:p>
    <w:p>
      <w:pPr>
        <w:spacing w:line="360" w:lineRule="auto"/>
        <w:ind w:left="764" w:leftChars="171" w:hanging="405" w:hangingChars="169"/>
        <w:rPr>
          <w:sz w:val="24"/>
        </w:rPr>
      </w:pPr>
      <w:r>
        <w:rPr>
          <w:rFonts w:hint="eastAsia"/>
          <w:sz w:val="24"/>
        </w:rPr>
        <w:t>一、公平竞争参加本次招标活动。</w:t>
      </w:r>
    </w:p>
    <w:p>
      <w:pPr>
        <w:spacing w:line="360" w:lineRule="auto"/>
        <w:ind w:left="764" w:leftChars="171" w:hanging="405" w:hangingChars="169"/>
        <w:rPr>
          <w:sz w:val="24"/>
        </w:rPr>
      </w:pPr>
      <w:r>
        <w:rPr>
          <w:rFonts w:hint="eastAsia"/>
          <w:sz w:val="24"/>
        </w:rPr>
        <w:t>二、杜绝任何形式的商业贿赂行为。不向国家工作人员、政府采购代理机构工作人员、评审专家及其亲属提供礼品礼金、有价证券、购物券、回扣、佣金、咨询费、劳务费、赞助费、宣传费、宴请；不为其报销各种报销凭证，不支付其旅游、娱乐等费用。</w:t>
      </w:r>
    </w:p>
    <w:p>
      <w:pPr>
        <w:spacing w:line="360" w:lineRule="auto"/>
        <w:ind w:left="764" w:leftChars="171" w:hanging="405" w:hangingChars="169"/>
        <w:rPr>
          <w:sz w:val="24"/>
        </w:rPr>
      </w:pPr>
      <w:r>
        <w:rPr>
          <w:rFonts w:hint="eastAsia"/>
          <w:sz w:val="24"/>
        </w:rPr>
        <w:t>三、若出现上述行为，我公司及参与投标的工作人员愿意接受按照国家法律法规等有关规定给予的处罚。</w:t>
      </w:r>
    </w:p>
    <w:p>
      <w:pPr>
        <w:spacing w:line="360" w:lineRule="auto"/>
        <w:ind w:left="764" w:leftChars="171" w:hanging="405" w:hangingChars="169"/>
        <w:rPr>
          <w:sz w:val="24"/>
        </w:rPr>
      </w:pPr>
      <w:r>
        <w:rPr>
          <w:rFonts w:hint="eastAsia"/>
          <w:sz w:val="24"/>
        </w:rPr>
        <w:t xml:space="preserve">     </w:t>
      </w:r>
    </w:p>
    <w:p>
      <w:pPr>
        <w:spacing w:line="360" w:lineRule="auto"/>
        <w:ind w:left="764" w:leftChars="171" w:hanging="405" w:hangingChars="169"/>
        <w:rPr>
          <w:sz w:val="24"/>
        </w:rPr>
      </w:pPr>
    </w:p>
    <w:p>
      <w:pPr>
        <w:spacing w:line="360" w:lineRule="auto"/>
        <w:ind w:firstLine="840"/>
        <w:rPr>
          <w:rFonts w:ascii="宋体" w:hAnsi="宋体"/>
          <w:sz w:val="24"/>
        </w:rPr>
      </w:pPr>
      <w:r>
        <w:rPr>
          <w:rFonts w:hint="eastAsia" w:ascii="宋体" w:hAnsi="宋体"/>
          <w:sz w:val="24"/>
        </w:rPr>
        <w:t>供应商（公章）：</w:t>
      </w:r>
    </w:p>
    <w:p>
      <w:pPr>
        <w:spacing w:line="360" w:lineRule="auto"/>
        <w:ind w:firstLine="840"/>
        <w:rPr>
          <w:rFonts w:ascii="宋体" w:hAnsi="宋体"/>
          <w:sz w:val="24"/>
        </w:rPr>
      </w:pPr>
      <w:r>
        <w:rPr>
          <w:rFonts w:hint="eastAsia" w:ascii="宋体" w:hAnsi="宋体"/>
          <w:sz w:val="24"/>
        </w:rPr>
        <w:t>供应商法人代表或其授权代表：</w:t>
      </w:r>
    </w:p>
    <w:p>
      <w:pPr>
        <w:spacing w:line="360" w:lineRule="auto"/>
        <w:jc w:val="right"/>
        <w:rPr>
          <w:rFonts w:ascii="宋体" w:hAnsi="宋体"/>
          <w:sz w:val="24"/>
          <w:u w:val="single"/>
        </w:rPr>
      </w:pPr>
      <w:r>
        <w:rPr>
          <w:rFonts w:hint="eastAsia" w:ascii="宋体" w:hAnsi="宋体"/>
          <w:sz w:val="24"/>
        </w:rPr>
        <w:t xml:space="preserve">       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pStyle w:val="5"/>
        <w:spacing w:before="60" w:afterLines="50" w:line="460" w:lineRule="exact"/>
        <w:ind w:firstLine="0" w:firstLineChars="0"/>
        <w:jc w:val="center"/>
        <w:rPr>
          <w:rFonts w:ascii="宋体" w:hAnsi="宋体"/>
          <w:b/>
          <w:kern w:val="2"/>
          <w:sz w:val="28"/>
        </w:rPr>
      </w:pPr>
    </w:p>
    <w:p>
      <w:pPr>
        <w:pStyle w:val="5"/>
        <w:spacing w:before="60" w:afterLines="50" w:line="460" w:lineRule="exact"/>
        <w:ind w:firstLine="0" w:firstLineChars="0"/>
        <w:jc w:val="center"/>
        <w:rPr>
          <w:rFonts w:ascii="宋体" w:hAnsi="宋体"/>
          <w:b/>
          <w:kern w:val="2"/>
          <w:sz w:val="28"/>
        </w:rPr>
      </w:pPr>
      <w:r>
        <w:rPr>
          <w:rFonts w:hint="eastAsia" w:ascii="宋体" w:hAnsi="宋体"/>
          <w:b/>
          <w:kern w:val="2"/>
          <w:sz w:val="28"/>
        </w:rPr>
        <w:t>八、参加本项目采购活动前三年内，在经营活动中没有重大违法记录承诺书</w:t>
      </w:r>
    </w:p>
    <w:p>
      <w:pPr>
        <w:spacing w:line="360" w:lineRule="auto"/>
        <w:jc w:val="center"/>
        <w:rPr>
          <w:rFonts w:ascii="宋体" w:hAnsi="宋体"/>
          <w:b/>
          <w:sz w:val="28"/>
        </w:rPr>
      </w:pPr>
      <w:r>
        <w:rPr>
          <w:rFonts w:hint="eastAsia" w:ascii="宋体" w:hAnsi="宋体"/>
          <w:b/>
          <w:sz w:val="28"/>
        </w:rPr>
        <w:t>（自定格式）</w:t>
      </w:r>
    </w:p>
    <w:p>
      <w:pPr>
        <w:spacing w:line="360" w:lineRule="auto"/>
        <w:jc w:val="center"/>
        <w:rPr>
          <w:b/>
          <w:sz w:val="28"/>
        </w:rPr>
      </w:pPr>
    </w:p>
    <w:p>
      <w:pPr>
        <w:spacing w:line="360" w:lineRule="auto"/>
        <w:jc w:val="center"/>
        <w:rPr>
          <w:b/>
          <w:sz w:val="28"/>
        </w:rPr>
      </w:pPr>
    </w:p>
    <w:p/>
    <w:p>
      <w:pPr>
        <w:spacing w:line="360" w:lineRule="auto"/>
        <w:jc w:val="center"/>
        <w:rPr>
          <w:rFonts w:ascii="宋体" w:hAnsi="宋体"/>
          <w:b/>
          <w:sz w:val="28"/>
        </w:rPr>
      </w:pPr>
      <w:bookmarkStart w:id="11" w:name="_Toc457392813"/>
      <w:r>
        <w:rPr>
          <w:rFonts w:hint="eastAsia" w:ascii="宋体" w:hAnsi="宋体"/>
          <w:b/>
          <w:sz w:val="28"/>
        </w:rPr>
        <w:t>九、其他有关资料</w:t>
      </w:r>
      <w:bookmarkEnd w:id="11"/>
      <w:r>
        <w:rPr>
          <w:rFonts w:hint="eastAsia" w:ascii="宋体" w:hAnsi="宋体"/>
          <w:b/>
          <w:sz w:val="28"/>
        </w:rPr>
        <w:t>（若有）</w:t>
      </w:r>
    </w:p>
    <w:p/>
    <w:p>
      <w:pPr>
        <w:tabs>
          <w:tab w:val="left" w:pos="1260"/>
        </w:tabs>
        <w:autoSpaceDE w:val="0"/>
        <w:autoSpaceDN w:val="0"/>
        <w:adjustRightInd w:val="0"/>
        <w:spacing w:line="360" w:lineRule="auto"/>
        <w:contextualSpacing/>
        <w:rPr>
          <w:rFonts w:ascii="宋体" w:hAnsi="宋体"/>
          <w:b/>
          <w:bCs/>
          <w:sz w:val="28"/>
          <w:szCs w:val="28"/>
        </w:rPr>
      </w:pPr>
      <w:r>
        <w:rPr>
          <w:rFonts w:ascii="宋体" w:hAnsi="宋体"/>
          <w:b/>
          <w:bCs/>
          <w:sz w:val="28"/>
          <w:szCs w:val="28"/>
        </w:rPr>
        <w:t>除招标文件另有规定外，投标人认为需要提交的其他证明材料或资料加盖投标人的单位公章后应在此项下提交。</w:t>
      </w:r>
    </w:p>
    <w:bookmarkEnd w:id="4"/>
    <w:p>
      <w:pPr>
        <w:widowControl/>
        <w:jc w:val="left"/>
        <w:rPr>
          <w:rFonts w:ascii="宋体" w:hAnsi="宋体"/>
          <w:b/>
          <w:bCs/>
          <w:sz w:val="28"/>
          <w:szCs w:val="28"/>
        </w:rPr>
      </w:pPr>
    </w:p>
    <w:sectPr>
      <w:headerReference r:id="rId3" w:type="default"/>
      <w:footerReference r:id="rId4" w:type="default"/>
      <w:pgSz w:w="11906" w:h="16838"/>
      <w:pgMar w:top="1440" w:right="1416"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等线 Light">
    <w:altName w:val="宋体"/>
    <w:panose1 w:val="00000000000000000000"/>
    <w:charset w:val="86"/>
    <w:family w:val="auto"/>
    <w:pitch w:val="default"/>
    <w:sig w:usb0="00000000" w:usb1="00000000" w:usb2="00000016" w:usb3="00000000" w:csb0="0004000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TimesNewRomanPSMT">
    <w:altName w:val="Times New Roman"/>
    <w:panose1 w:val="00000000000000000000"/>
    <w:charset w:val="00"/>
    <w:family w:val="roman"/>
    <w:pitch w:val="default"/>
    <w:sig w:usb0="00000000" w:usb1="00000000" w:usb2="00000000" w:usb3="00000000" w:csb0="00000001" w:csb1="00000000"/>
  </w:font>
  <w:font w:name="新宋体">
    <w:panose1 w:val="02010609030101010101"/>
    <w:charset w:val="86"/>
    <w:family w:val="modern"/>
    <w:pitch w:val="default"/>
    <w:sig w:usb0="00000003" w:usb1="288F0000" w:usb2="00000006" w:usb3="00000000" w:csb0="00040001" w:csb1="00000000"/>
  </w:font>
  <w:font w:name="Courier New">
    <w:panose1 w:val="02070309020205020404"/>
    <w:charset w:val="00"/>
    <w:family w:val="modern"/>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0000000"/>
    <w:lvl w:ilvl="0" w:tentative="0">
      <w:start w:val="1"/>
      <w:numFmt w:val="japaneseCounting"/>
      <w:pStyle w:val="47"/>
      <w:lvlText w:val="第%1节"/>
      <w:lvlJc w:val="left"/>
      <w:pPr>
        <w:tabs>
          <w:tab w:val="left" w:pos="9381"/>
        </w:tabs>
        <w:ind w:left="9381" w:hanging="6120"/>
      </w:pPr>
      <w:rPr>
        <w:rFonts w:hint="eastAsia"/>
      </w:rPr>
    </w:lvl>
    <w:lvl w:ilvl="1" w:tentative="0">
      <w:start w:val="1"/>
      <w:numFmt w:val="lowerLetter"/>
      <w:lvlText w:val="%2)"/>
      <w:lvlJc w:val="left"/>
      <w:pPr>
        <w:tabs>
          <w:tab w:val="left" w:pos="4101"/>
        </w:tabs>
        <w:ind w:left="4101" w:hanging="420"/>
      </w:pPr>
    </w:lvl>
    <w:lvl w:ilvl="2" w:tentative="0">
      <w:start w:val="1"/>
      <w:numFmt w:val="lowerRoman"/>
      <w:lvlText w:val="%3."/>
      <w:lvlJc w:val="right"/>
      <w:pPr>
        <w:tabs>
          <w:tab w:val="left" w:pos="4521"/>
        </w:tabs>
        <w:ind w:left="4521" w:hanging="420"/>
      </w:pPr>
    </w:lvl>
    <w:lvl w:ilvl="3" w:tentative="0">
      <w:start w:val="1"/>
      <w:numFmt w:val="decimal"/>
      <w:lvlText w:val="%4."/>
      <w:lvlJc w:val="left"/>
      <w:pPr>
        <w:tabs>
          <w:tab w:val="left" w:pos="4941"/>
        </w:tabs>
        <w:ind w:left="4941" w:hanging="420"/>
      </w:pPr>
    </w:lvl>
    <w:lvl w:ilvl="4" w:tentative="0">
      <w:start w:val="1"/>
      <w:numFmt w:val="lowerLetter"/>
      <w:lvlText w:val="%5)"/>
      <w:lvlJc w:val="left"/>
      <w:pPr>
        <w:tabs>
          <w:tab w:val="left" w:pos="5361"/>
        </w:tabs>
        <w:ind w:left="5361" w:hanging="420"/>
      </w:pPr>
    </w:lvl>
    <w:lvl w:ilvl="5" w:tentative="0">
      <w:start w:val="1"/>
      <w:numFmt w:val="lowerRoman"/>
      <w:lvlText w:val="%6."/>
      <w:lvlJc w:val="right"/>
      <w:pPr>
        <w:tabs>
          <w:tab w:val="left" w:pos="5781"/>
        </w:tabs>
        <w:ind w:left="5781" w:hanging="420"/>
      </w:pPr>
    </w:lvl>
    <w:lvl w:ilvl="6" w:tentative="0">
      <w:start w:val="1"/>
      <w:numFmt w:val="decimal"/>
      <w:lvlText w:val="%7."/>
      <w:lvlJc w:val="left"/>
      <w:pPr>
        <w:tabs>
          <w:tab w:val="left" w:pos="6201"/>
        </w:tabs>
        <w:ind w:left="6201" w:hanging="420"/>
      </w:pPr>
    </w:lvl>
    <w:lvl w:ilvl="7" w:tentative="0">
      <w:start w:val="1"/>
      <w:numFmt w:val="lowerLetter"/>
      <w:lvlText w:val="%8)"/>
      <w:lvlJc w:val="left"/>
      <w:pPr>
        <w:tabs>
          <w:tab w:val="left" w:pos="6621"/>
        </w:tabs>
        <w:ind w:left="6621" w:hanging="420"/>
      </w:pPr>
    </w:lvl>
    <w:lvl w:ilvl="8" w:tentative="0">
      <w:start w:val="1"/>
      <w:numFmt w:val="lowerRoman"/>
      <w:lvlText w:val="%9."/>
      <w:lvlJc w:val="right"/>
      <w:pPr>
        <w:tabs>
          <w:tab w:val="left" w:pos="7041"/>
        </w:tabs>
        <w:ind w:left="7041" w:hanging="420"/>
      </w:pPr>
    </w:lvl>
  </w:abstractNum>
  <w:abstractNum w:abstractNumId="1">
    <w:nsid w:val="00000001"/>
    <w:multiLevelType w:val="multilevel"/>
    <w:tmpl w:val="00000001"/>
    <w:lvl w:ilvl="0" w:tentative="0">
      <w:start w:val="1"/>
      <w:numFmt w:val="decimal"/>
      <w:pStyle w:val="37"/>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ascii="宋体" w:hAnsi="宋体" w:eastAsia="宋体"/>
        <w:b w:val="0"/>
        <w:color w:val="auto"/>
        <w:sz w:val="21"/>
        <w:szCs w:val="21"/>
      </w:rPr>
    </w:lvl>
    <w:lvl w:ilvl="2" w:tentative="0">
      <w:start w:val="1"/>
      <w:numFmt w:val="decimal"/>
      <w:lvlText w:val="%1.%2.%3."/>
      <w:lvlJc w:val="left"/>
      <w:pPr>
        <w:tabs>
          <w:tab w:val="left" w:pos="425"/>
        </w:tabs>
        <w:ind w:left="425" w:hanging="425"/>
      </w:pPr>
      <w:rPr>
        <w:rFonts w:hint="eastAsia"/>
        <w:sz w:val="21"/>
        <w:szCs w:val="21"/>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00000002"/>
    <w:multiLevelType w:val="multilevel"/>
    <w:tmpl w:val="00000002"/>
    <w:lvl w:ilvl="0" w:tentative="0">
      <w:start w:val="1"/>
      <w:numFmt w:val="chineseCountingThousand"/>
      <w:suff w:val="nothing"/>
      <w:lvlText w:val="%1、"/>
      <w:lvlJc w:val="left"/>
      <w:pPr>
        <w:ind w:left="420" w:hanging="420"/>
      </w:pPr>
      <w:rPr>
        <w:rFonts w:hint="eastAsia"/>
        <w:b/>
      </w:rPr>
    </w:lvl>
    <w:lvl w:ilvl="1" w:tentative="0">
      <w:start w:val="1"/>
      <w:numFmt w:val="decimal"/>
      <w:lvlText w:val="%2."/>
      <w:lvlJc w:val="left"/>
      <w:pPr>
        <w:ind w:left="1155" w:hanging="735"/>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3"/>
    <w:multiLevelType w:val="multilevel"/>
    <w:tmpl w:val="0000000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4"/>
    <w:multiLevelType w:val="multilevel"/>
    <w:tmpl w:val="0000000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05"/>
    <w:multiLevelType w:val="multilevel"/>
    <w:tmpl w:val="0000000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06"/>
    <w:multiLevelType w:val="multilevel"/>
    <w:tmpl w:val="0000000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07"/>
    <w:multiLevelType w:val="multilevel"/>
    <w:tmpl w:val="00000007"/>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08"/>
    <w:multiLevelType w:val="multilevel"/>
    <w:tmpl w:val="0000000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9"/>
    <w:multiLevelType w:val="multilevel"/>
    <w:tmpl w:val="0000000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4"/>
  </w:num>
  <w:num w:numId="4">
    <w:abstractNumId w:val="2"/>
  </w:num>
  <w:num w:numId="5">
    <w:abstractNumId w:val="3"/>
  </w:num>
  <w:num w:numId="6">
    <w:abstractNumId w:val="7"/>
  </w:num>
  <w:num w:numId="7">
    <w:abstractNumId w:val="8"/>
  </w:num>
  <w:num w:numId="8">
    <w:abstractNumId w:val="6"/>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00000"/>
    <w:rsid w:val="276C2D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paragraph" w:styleId="2">
    <w:name w:val="heading 1"/>
    <w:basedOn w:val="1"/>
    <w:next w:val="1"/>
    <w:link w:val="35"/>
    <w:qFormat/>
    <w:uiPriority w:val="0"/>
    <w:pPr>
      <w:tabs>
        <w:tab w:val="left" w:pos="3007"/>
        <w:tab w:val="left" w:pos="5276"/>
      </w:tabs>
      <w:spacing w:line="360" w:lineRule="auto"/>
      <w:jc w:val="center"/>
      <w:outlineLvl w:val="0"/>
    </w:pPr>
    <w:rPr>
      <w:b/>
      <w:sz w:val="32"/>
    </w:rPr>
  </w:style>
  <w:style w:type="paragraph" w:styleId="3">
    <w:name w:val="heading 2"/>
    <w:basedOn w:val="1"/>
    <w:next w:val="1"/>
    <w:link w:val="38"/>
    <w:qFormat/>
    <w:uiPriority w:val="0"/>
    <w:pPr>
      <w:keepNext/>
      <w:keepLines/>
      <w:spacing w:before="260" w:after="260" w:line="416" w:lineRule="auto"/>
      <w:outlineLvl w:val="1"/>
    </w:pPr>
    <w:rPr>
      <w:rFonts w:ascii="Cambria" w:hAnsi="Cambria" w:eastAsia="宋体" w:cs="宋体"/>
      <w:b/>
      <w:bCs/>
      <w:sz w:val="32"/>
      <w:szCs w:val="32"/>
    </w:rPr>
  </w:style>
  <w:style w:type="paragraph" w:styleId="4">
    <w:name w:val="heading 3"/>
    <w:basedOn w:val="1"/>
    <w:next w:val="1"/>
    <w:link w:val="41"/>
    <w:qFormat/>
    <w:uiPriority w:val="9"/>
    <w:pPr>
      <w:keepNext/>
      <w:keepLines/>
      <w:spacing w:before="260" w:after="260" w:line="416" w:lineRule="auto"/>
      <w:outlineLvl w:val="2"/>
    </w:pPr>
    <w:rPr>
      <w:b/>
      <w:bCs/>
      <w:sz w:val="32"/>
      <w:szCs w:val="32"/>
    </w:rPr>
  </w:style>
  <w:style w:type="character" w:default="1" w:styleId="27">
    <w:name w:val="Default Paragraph Font"/>
    <w:uiPriority w:val="1"/>
  </w:style>
  <w:style w:type="table" w:default="1" w:styleId="18">
    <w:name w:val="Normal Table"/>
    <w:qFormat/>
    <w:uiPriority w:val="99"/>
    <w:tblPr>
      <w:tblLayout w:type="fixed"/>
      <w:tblCellMar>
        <w:top w:w="0" w:type="dxa"/>
        <w:left w:w="108" w:type="dxa"/>
        <w:bottom w:w="0" w:type="dxa"/>
        <w:right w:w="108" w:type="dxa"/>
      </w:tblCellMar>
    </w:tblPr>
  </w:style>
  <w:style w:type="paragraph" w:styleId="5">
    <w:name w:val="Normal Indent"/>
    <w:basedOn w:val="1"/>
    <w:qFormat/>
    <w:uiPriority w:val="0"/>
    <w:pPr>
      <w:adjustRightInd w:val="0"/>
      <w:spacing w:line="360" w:lineRule="atLeast"/>
      <w:ind w:firstLine="420" w:firstLineChars="200"/>
      <w:jc w:val="left"/>
      <w:textAlignment w:val="baseline"/>
    </w:pPr>
    <w:rPr>
      <w:rFonts w:ascii="Times New Roman" w:hAnsi="Times New Roman"/>
      <w:kern w:val="0"/>
      <w:sz w:val="24"/>
    </w:rPr>
  </w:style>
  <w:style w:type="paragraph" w:styleId="6">
    <w:name w:val="Body Text"/>
    <w:basedOn w:val="1"/>
    <w:link w:val="42"/>
    <w:qFormat/>
    <w:uiPriority w:val="99"/>
    <w:pPr>
      <w:spacing w:after="120"/>
    </w:pPr>
  </w:style>
  <w:style w:type="paragraph" w:styleId="7">
    <w:name w:val="Body Text Indent"/>
    <w:basedOn w:val="1"/>
    <w:link w:val="39"/>
    <w:qFormat/>
    <w:uiPriority w:val="0"/>
    <w:pPr>
      <w:spacing w:line="360" w:lineRule="auto"/>
      <w:ind w:firstLine="540" w:firstLineChars="225"/>
    </w:pPr>
    <w:rPr>
      <w:sz w:val="24"/>
    </w:rPr>
  </w:style>
  <w:style w:type="paragraph" w:styleId="8">
    <w:name w:val="Plain Text"/>
    <w:basedOn w:val="1"/>
    <w:link w:val="40"/>
    <w:qFormat/>
    <w:uiPriority w:val="0"/>
    <w:rPr>
      <w:rFonts w:ascii="Calibri" w:hAnsi="Calibri" w:cs="宋体"/>
      <w:sz w:val="24"/>
      <w:szCs w:val="22"/>
    </w:rPr>
  </w:style>
  <w:style w:type="paragraph" w:styleId="9">
    <w:name w:val="Date"/>
    <w:basedOn w:val="1"/>
    <w:next w:val="1"/>
    <w:link w:val="34"/>
    <w:qFormat/>
    <w:uiPriority w:val="0"/>
    <w:pPr>
      <w:ind w:left="100" w:leftChars="2500"/>
    </w:pPr>
    <w:rPr>
      <w:b/>
      <w:sz w:val="32"/>
    </w:rPr>
  </w:style>
  <w:style w:type="paragraph" w:styleId="10">
    <w:name w:val="Body Text Indent 2"/>
    <w:basedOn w:val="1"/>
    <w:link w:val="45"/>
    <w:qFormat/>
    <w:uiPriority w:val="99"/>
    <w:pPr>
      <w:spacing w:after="120" w:line="480" w:lineRule="auto"/>
      <w:ind w:left="420" w:leftChars="200"/>
    </w:pPr>
  </w:style>
  <w:style w:type="paragraph" w:styleId="11">
    <w:name w:val="Balloon Text"/>
    <w:basedOn w:val="1"/>
    <w:link w:val="50"/>
    <w:qFormat/>
    <w:uiPriority w:val="99"/>
    <w:rPr>
      <w:sz w:val="18"/>
      <w:szCs w:val="18"/>
    </w:rPr>
  </w:style>
  <w:style w:type="paragraph" w:styleId="12">
    <w:name w:val="footer"/>
    <w:basedOn w:val="1"/>
    <w:link w:val="33"/>
    <w:qFormat/>
    <w:uiPriority w:val="0"/>
    <w:pPr>
      <w:tabs>
        <w:tab w:val="center" w:pos="4153"/>
        <w:tab w:val="right" w:pos="8306"/>
      </w:tabs>
      <w:snapToGrid w:val="0"/>
      <w:jc w:val="left"/>
    </w:pPr>
    <w:rPr>
      <w:sz w:val="18"/>
      <w:szCs w:val="18"/>
    </w:rPr>
  </w:style>
  <w:style w:type="paragraph" w:styleId="13">
    <w:name w:val="header"/>
    <w:basedOn w:val="1"/>
    <w:link w:val="32"/>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line="480" w:lineRule="auto"/>
    </w:pPr>
    <w:rPr>
      <w:rFonts w:ascii="Times New Roman" w:hAnsi="Times New Roman" w:eastAsia="仿宋"/>
      <w:sz w:val="28"/>
      <w:szCs w:val="24"/>
    </w:rPr>
  </w:style>
  <w:style w:type="paragraph" w:styleId="15">
    <w:name w:val="Body Text Indent 3"/>
    <w:basedOn w:val="1"/>
    <w:link w:val="46"/>
    <w:qFormat/>
    <w:uiPriority w:val="99"/>
    <w:pPr>
      <w:spacing w:after="120"/>
      <w:ind w:left="420" w:leftChars="200"/>
    </w:pPr>
    <w:rPr>
      <w:sz w:val="16"/>
      <w:szCs w:val="16"/>
    </w:rPr>
  </w:style>
  <w:style w:type="paragraph" w:styleId="16">
    <w:name w:val="Normal (Web)"/>
    <w:basedOn w:val="1"/>
    <w:qFormat/>
    <w:uiPriority w:val="99"/>
    <w:pPr>
      <w:spacing w:beforeAutospacing="1" w:afterAutospacing="1"/>
      <w:jc w:val="left"/>
    </w:pPr>
    <w:rPr>
      <w:rFonts w:ascii="Times New Roman" w:hAnsi="Times New Roman"/>
      <w:kern w:val="0"/>
      <w:sz w:val="24"/>
      <w:szCs w:val="24"/>
    </w:rPr>
  </w:style>
  <w:style w:type="paragraph" w:styleId="17">
    <w:name w:val="Body Text First Indent"/>
    <w:basedOn w:val="6"/>
    <w:link w:val="43"/>
    <w:qFormat/>
    <w:uiPriority w:val="99"/>
    <w:pPr>
      <w:ind w:firstLine="420" w:firstLineChars="100"/>
    </w:pPr>
  </w:style>
  <w:style w:type="table" w:styleId="19">
    <w:name w:val="Table Grid"/>
    <w:basedOn w:val="18"/>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styleId="20">
    <w:name w:val="Medium Grid 3"/>
    <w:basedOn w:val="18"/>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C0C0C0"/>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000000"/>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21">
    <w:name w:val="Medium Grid 3 Accent 1"/>
    <w:basedOn w:val="18"/>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D3DFEE"/>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4F81BD"/>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22">
    <w:name w:val="Medium Grid 3 Accent 2"/>
    <w:basedOn w:val="18"/>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EFD3D2"/>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C0504D"/>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23">
    <w:name w:val="Medium Grid 3 Accent 3"/>
    <w:basedOn w:val="18"/>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E6EED5"/>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9BBB59"/>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24">
    <w:name w:val="Medium Grid 3 Accent 4"/>
    <w:basedOn w:val="18"/>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DFD8E8"/>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8064A2"/>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25">
    <w:name w:val="Medium Grid 3 Accent 5"/>
    <w:basedOn w:val="18"/>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D2EAF1"/>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4BACC6"/>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26">
    <w:name w:val="Medium Grid 3 Accent 6"/>
    <w:basedOn w:val="18"/>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FDE4D0"/>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F79646"/>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styleId="28">
    <w:name w:val="Strong"/>
    <w:qFormat/>
    <w:uiPriority w:val="0"/>
    <w:rPr>
      <w:b/>
      <w:bCs/>
    </w:rPr>
  </w:style>
  <w:style w:type="character" w:styleId="29">
    <w:name w:val="page number"/>
    <w:basedOn w:val="27"/>
    <w:qFormat/>
    <w:uiPriority w:val="0"/>
  </w:style>
  <w:style w:type="character" w:styleId="30">
    <w:name w:val="Hyperlink"/>
    <w:basedOn w:val="27"/>
    <w:qFormat/>
    <w:uiPriority w:val="0"/>
    <w:rPr>
      <w:color w:val="000000"/>
      <w:u w:val="none"/>
    </w:rPr>
  </w:style>
  <w:style w:type="character" w:styleId="31">
    <w:name w:val="annotation reference"/>
    <w:qFormat/>
    <w:uiPriority w:val="0"/>
    <w:rPr>
      <w:sz w:val="21"/>
      <w:szCs w:val="21"/>
    </w:rPr>
  </w:style>
  <w:style w:type="character" w:customStyle="1" w:styleId="32">
    <w:name w:val="页眉 Char"/>
    <w:basedOn w:val="27"/>
    <w:link w:val="13"/>
    <w:qFormat/>
    <w:uiPriority w:val="99"/>
    <w:rPr>
      <w:sz w:val="18"/>
      <w:szCs w:val="18"/>
    </w:rPr>
  </w:style>
  <w:style w:type="character" w:customStyle="1" w:styleId="33">
    <w:name w:val="页脚 Char"/>
    <w:basedOn w:val="27"/>
    <w:link w:val="12"/>
    <w:qFormat/>
    <w:uiPriority w:val="99"/>
    <w:rPr>
      <w:sz w:val="18"/>
      <w:szCs w:val="18"/>
    </w:rPr>
  </w:style>
  <w:style w:type="character" w:customStyle="1" w:styleId="34">
    <w:name w:val="日期 Char"/>
    <w:basedOn w:val="27"/>
    <w:link w:val="9"/>
    <w:qFormat/>
    <w:uiPriority w:val="0"/>
    <w:rPr>
      <w:rFonts w:ascii="Calibri" w:hAnsi="Calibri" w:eastAsia="宋体" w:cs="Times New Roman"/>
      <w:b/>
      <w:sz w:val="32"/>
      <w:szCs w:val="20"/>
    </w:rPr>
  </w:style>
  <w:style w:type="character" w:customStyle="1" w:styleId="35">
    <w:name w:val="标题 1 Char"/>
    <w:basedOn w:val="27"/>
    <w:link w:val="2"/>
    <w:qFormat/>
    <w:uiPriority w:val="0"/>
    <w:rPr>
      <w:rFonts w:ascii="Calibri" w:hAnsi="Calibri" w:eastAsia="宋体" w:cs="Times New Roman"/>
      <w:b/>
      <w:sz w:val="32"/>
      <w:szCs w:val="20"/>
    </w:rPr>
  </w:style>
  <w:style w:type="paragraph" w:customStyle="1" w:styleId="36">
    <w:name w:val="普通(网站)1"/>
    <w:basedOn w:val="1"/>
    <w:qFormat/>
    <w:uiPriority w:val="0"/>
    <w:rPr>
      <w:sz w:val="24"/>
      <w:szCs w:val="24"/>
    </w:rPr>
  </w:style>
  <w:style w:type="paragraph" w:customStyle="1" w:styleId="37">
    <w:name w:val="样式1"/>
    <w:basedOn w:val="1"/>
    <w:qFormat/>
    <w:uiPriority w:val="0"/>
    <w:pPr>
      <w:numPr>
        <w:ilvl w:val="0"/>
        <w:numId w:val="1"/>
      </w:numPr>
      <w:adjustRightInd w:val="0"/>
      <w:textAlignment w:val="baseline"/>
    </w:pPr>
    <w:rPr>
      <w:rFonts w:ascii="宋体" w:hAnsi="宋体"/>
      <w:kern w:val="0"/>
      <w:szCs w:val="21"/>
    </w:rPr>
  </w:style>
  <w:style w:type="character" w:customStyle="1" w:styleId="38">
    <w:name w:val="标题 2 Char"/>
    <w:basedOn w:val="27"/>
    <w:link w:val="3"/>
    <w:qFormat/>
    <w:uiPriority w:val="9"/>
    <w:rPr>
      <w:rFonts w:ascii="Cambria" w:hAnsi="Cambria" w:eastAsia="宋体" w:cs="宋体"/>
      <w:b/>
      <w:bCs/>
      <w:sz w:val="32"/>
      <w:szCs w:val="32"/>
    </w:rPr>
  </w:style>
  <w:style w:type="character" w:customStyle="1" w:styleId="39">
    <w:name w:val="正文文本缩进 Char"/>
    <w:basedOn w:val="27"/>
    <w:link w:val="7"/>
    <w:qFormat/>
    <w:uiPriority w:val="0"/>
    <w:rPr>
      <w:rFonts w:ascii="Calibri" w:hAnsi="Calibri" w:eastAsia="宋体" w:cs="Times New Roman"/>
      <w:sz w:val="24"/>
      <w:szCs w:val="20"/>
    </w:rPr>
  </w:style>
  <w:style w:type="character" w:customStyle="1" w:styleId="40">
    <w:name w:val="纯文本 Char"/>
    <w:basedOn w:val="27"/>
    <w:link w:val="8"/>
    <w:qFormat/>
    <w:uiPriority w:val="0"/>
    <w:rPr>
      <w:rFonts w:eastAsia="宋体"/>
      <w:sz w:val="24"/>
    </w:rPr>
  </w:style>
  <w:style w:type="character" w:customStyle="1" w:styleId="41">
    <w:name w:val="标题 3 Char"/>
    <w:basedOn w:val="27"/>
    <w:link w:val="4"/>
    <w:qFormat/>
    <w:uiPriority w:val="9"/>
    <w:rPr>
      <w:rFonts w:ascii="Calibri" w:hAnsi="Calibri" w:eastAsia="宋体" w:cs="Times New Roman"/>
      <w:b/>
      <w:bCs/>
      <w:sz w:val="32"/>
      <w:szCs w:val="32"/>
    </w:rPr>
  </w:style>
  <w:style w:type="character" w:customStyle="1" w:styleId="42">
    <w:name w:val="正文文本 Char"/>
    <w:basedOn w:val="27"/>
    <w:link w:val="6"/>
    <w:qFormat/>
    <w:uiPriority w:val="99"/>
    <w:rPr>
      <w:rFonts w:ascii="Calibri" w:hAnsi="Calibri" w:eastAsia="宋体" w:cs="Times New Roman"/>
      <w:szCs w:val="20"/>
    </w:rPr>
  </w:style>
  <w:style w:type="character" w:customStyle="1" w:styleId="43">
    <w:name w:val="正文首行缩进 Char"/>
    <w:basedOn w:val="42"/>
    <w:link w:val="17"/>
    <w:qFormat/>
    <w:uiPriority w:val="99"/>
    <w:rPr>
      <w:rFonts w:ascii="Calibri" w:hAnsi="Calibri" w:eastAsia="宋体" w:cs="Times New Roman"/>
      <w:szCs w:val="20"/>
    </w:rPr>
  </w:style>
  <w:style w:type="paragraph" w:styleId="44">
    <w:name w:val="List Paragraph"/>
    <w:basedOn w:val="1"/>
    <w:qFormat/>
    <w:uiPriority w:val="99"/>
    <w:pPr>
      <w:ind w:firstLine="420" w:firstLineChars="200"/>
    </w:pPr>
  </w:style>
  <w:style w:type="character" w:customStyle="1" w:styleId="45">
    <w:name w:val="正文文本缩进 2 Char"/>
    <w:basedOn w:val="27"/>
    <w:link w:val="10"/>
    <w:qFormat/>
    <w:uiPriority w:val="99"/>
    <w:rPr>
      <w:rFonts w:ascii="Calibri" w:hAnsi="Calibri" w:eastAsia="宋体" w:cs="Times New Roman"/>
      <w:kern w:val="2"/>
      <w:sz w:val="21"/>
    </w:rPr>
  </w:style>
  <w:style w:type="character" w:customStyle="1" w:styleId="46">
    <w:name w:val="正文文本缩进 3 Char"/>
    <w:basedOn w:val="27"/>
    <w:link w:val="15"/>
    <w:uiPriority w:val="99"/>
    <w:rPr>
      <w:rFonts w:ascii="Calibri" w:hAnsi="Calibri" w:eastAsia="宋体" w:cs="Times New Roman"/>
      <w:kern w:val="2"/>
      <w:sz w:val="16"/>
      <w:szCs w:val="16"/>
    </w:rPr>
  </w:style>
  <w:style w:type="paragraph" w:customStyle="1" w:styleId="47">
    <w:name w:val="04 Recitals"/>
    <w:basedOn w:val="1"/>
    <w:qFormat/>
    <w:uiPriority w:val="0"/>
    <w:pPr>
      <w:widowControl/>
      <w:numPr>
        <w:ilvl w:val="0"/>
        <w:numId w:val="2"/>
      </w:numPr>
      <w:tabs>
        <w:tab w:val="left" w:pos="480"/>
      </w:tabs>
      <w:spacing w:line="290" w:lineRule="auto"/>
    </w:pPr>
    <w:rPr>
      <w:rFonts w:ascii="Arial" w:hAnsi="Arial"/>
      <w:kern w:val="20"/>
      <w:sz w:val="24"/>
      <w:szCs w:val="23"/>
      <w:lang w:val="en-GB" w:eastAsia="en-US"/>
    </w:rPr>
  </w:style>
  <w:style w:type="paragraph" w:customStyle="1" w:styleId="48">
    <w:name w:val="TOC 标题1"/>
    <w:basedOn w:val="2"/>
    <w:next w:val="1"/>
    <w:qFormat/>
    <w:uiPriority w:val="39"/>
    <w:pPr>
      <w:keepNext/>
      <w:keepLines/>
      <w:widowControl/>
      <w:tabs>
        <w:tab w:val="clear" w:pos="3007"/>
        <w:tab w:val="clear" w:pos="5276"/>
      </w:tabs>
      <w:spacing w:before="240" w:line="259" w:lineRule="auto"/>
      <w:jc w:val="left"/>
      <w:outlineLvl w:val="9"/>
    </w:pPr>
    <w:rPr>
      <w:rFonts w:ascii="等线 Light" w:hAnsi="等线 Light" w:eastAsia="等线 Light"/>
      <w:b w:val="0"/>
      <w:color w:val="2F5496"/>
      <w:kern w:val="0"/>
      <w:szCs w:val="32"/>
    </w:rPr>
  </w:style>
  <w:style w:type="paragraph" w:customStyle="1" w:styleId="49">
    <w:name w:val="Table Paragraph"/>
    <w:basedOn w:val="1"/>
    <w:qFormat/>
    <w:uiPriority w:val="1"/>
    <w:rPr>
      <w:rFonts w:ascii="宋体" w:hAnsi="宋体" w:cs="宋体"/>
      <w:lang w:val="zh-CN" w:bidi="zh-CN"/>
    </w:rPr>
  </w:style>
  <w:style w:type="character" w:customStyle="1" w:styleId="50">
    <w:name w:val="批注框文本 Char"/>
    <w:basedOn w:val="27"/>
    <w:link w:val="11"/>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99DE40-97B8-4199-BBAC-D2D0A7CA39C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55</Pages>
  <Words>27365</Words>
  <Characters>28829</Characters>
  <Paragraphs>1781</Paragraphs>
  <TotalTime>151</TotalTime>
  <ScaleCrop>false</ScaleCrop>
  <LinksUpToDate>false</LinksUpToDate>
  <CharactersWithSpaces>30080</CharactersWithSpaces>
  <Application>WPS Office_11.1.0.8813_F1E327BC-269C-435d-A152-05C5408002CA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2019-06-17T05:56:00Z</dcterms:created>
  <dc:creator>河南鼎华招标代理有限公司:河南鼎华招标代理有限公司</dc:creator>
  <cp:lastModifiedBy>张鑫</cp:lastModifiedBy>
  <cp:lastPrinted>2019-07-04T00:55:00Z</cp:lastPrinted>
  <dcterms:modified xsi:type="dcterms:W3CDTF">2019-08-02T02:21:58Z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2052-11.1.0.8813</vt:lpwstr>
  </property>
</Properties>
</file>